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adjustRightInd w:val="0"/>
        <w:snapToGrid w:val="0"/>
        <w:spacing w:before="0" w:after="0" w:line="800" w:lineRule="exact"/>
        <w:jc w:val="center"/>
        <w:textAlignment w:val="baseline"/>
        <w:rPr>
          <w:rFonts w:hint="eastAsia" w:ascii="宋体" w:hAnsi="宋体" w:eastAsia="宋体" w:cs="宋体"/>
          <w:color w:val="auto"/>
          <w:w w:val="80"/>
          <w:sz w:val="32"/>
          <w:szCs w:val="32"/>
          <w:highlight w:val="none"/>
          <w:lang w:eastAsia="zh-CN"/>
        </w:rPr>
      </w:pPr>
      <w:r>
        <w:rPr>
          <w:rFonts w:hint="eastAsia" w:ascii="宋体" w:hAnsi="宋体" w:eastAsia="宋体" w:cs="宋体"/>
          <w:color w:val="auto"/>
          <w:w w:val="80"/>
          <w:sz w:val="32"/>
          <w:szCs w:val="32"/>
          <w:highlight w:val="none"/>
          <w:lang w:eastAsia="zh-CN"/>
        </w:rPr>
        <w:t>南通市中心血站穿越安全输血标准化系统等级保护测评服务项目需求</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为落实《网络安全法</w:t>
      </w:r>
      <w:r>
        <w:rPr>
          <w:rFonts w:hint="eastAsia" w:ascii="宋体" w:hAnsi="宋体" w:eastAsia="宋体" w:cs="宋体"/>
          <w:sz w:val="21"/>
          <w:szCs w:val="21"/>
          <w:lang w:eastAsia="zh-CN"/>
        </w:rPr>
        <w:t>》《</w:t>
      </w:r>
      <w:r>
        <w:rPr>
          <w:rFonts w:hint="eastAsia" w:ascii="宋体" w:hAnsi="宋体" w:eastAsia="宋体" w:cs="宋体"/>
          <w:sz w:val="21"/>
          <w:szCs w:val="21"/>
        </w:rPr>
        <w:t>信息安全技术网络安全等级保护基本要求》，南通市</w:t>
      </w:r>
      <w:r>
        <w:rPr>
          <w:rFonts w:hint="eastAsia" w:ascii="宋体" w:hAnsi="宋体" w:eastAsia="宋体" w:cs="宋体"/>
          <w:sz w:val="21"/>
          <w:szCs w:val="21"/>
          <w:lang w:val="en-US" w:eastAsia="zh-CN"/>
        </w:rPr>
        <w:t>中心血站</w:t>
      </w:r>
      <w:r>
        <w:rPr>
          <w:rFonts w:hint="eastAsia" w:ascii="宋体" w:hAnsi="宋体" w:eastAsia="宋体" w:cs="宋体"/>
          <w:sz w:val="21"/>
          <w:szCs w:val="21"/>
        </w:rPr>
        <w:t>，决定对各单位的重要系统进行网络安全等级保护测评，以明确信息系统网络安全现状，发现系统内部存在的安全隐患和不足，加强网络安全升级，降低网络安全隐患。</w:t>
      </w:r>
    </w:p>
    <w:p>
      <w:pPr>
        <w:pStyle w:val="4"/>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sz w:val="21"/>
          <w:szCs w:val="21"/>
        </w:rPr>
      </w:pPr>
      <w:r>
        <w:rPr>
          <w:rFonts w:hint="eastAsia" w:ascii="宋体" w:hAnsi="宋体" w:eastAsia="宋体" w:cs="宋体"/>
          <w:sz w:val="21"/>
          <w:szCs w:val="21"/>
        </w:rPr>
        <w:t>一、本项目测评范围</w:t>
      </w:r>
    </w:p>
    <w:tbl>
      <w:tblPr>
        <w:tblStyle w:val="6"/>
        <w:tblW w:w="0" w:type="auto"/>
        <w:jc w:val="center"/>
        <w:shd w:val="clear" w:color="auto" w:fill="auto"/>
        <w:tblLayout w:type="fixed"/>
        <w:tblCellMar>
          <w:top w:w="0" w:type="dxa"/>
          <w:left w:w="108" w:type="dxa"/>
          <w:bottom w:w="0" w:type="dxa"/>
          <w:right w:w="108" w:type="dxa"/>
        </w:tblCellMar>
      </w:tblPr>
      <w:tblGrid>
        <w:gridCol w:w="526"/>
        <w:gridCol w:w="2690"/>
        <w:gridCol w:w="3118"/>
        <w:gridCol w:w="993"/>
        <w:gridCol w:w="1479"/>
      </w:tblGrid>
      <w:tr>
        <w:tblPrEx>
          <w:shd w:val="clear" w:color="auto" w:fill="auto"/>
          <w:tblCellMar>
            <w:top w:w="0" w:type="dxa"/>
            <w:left w:w="108" w:type="dxa"/>
            <w:bottom w:w="0" w:type="dxa"/>
            <w:right w:w="108" w:type="dxa"/>
          </w:tblCellMar>
        </w:tblPrEx>
        <w:trPr>
          <w:trHeight w:val="755"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00" w:lineRule="exact"/>
              <w:ind w:right="240"/>
              <w:jc w:val="center"/>
              <w:rPr>
                <w:rFonts w:hint="eastAsia" w:ascii="宋体" w:hAnsi="宋体" w:eastAsia="宋体" w:cs="宋体"/>
                <w:b/>
                <w:color w:val="000000"/>
                <w:sz w:val="21"/>
                <w:szCs w:val="21"/>
                <w:highlight w:val="none"/>
                <w:shd w:val="clear" w:color="auto" w:fill="auto"/>
              </w:rPr>
            </w:pPr>
            <w:bookmarkStart w:id="0" w:name="_GoBack"/>
            <w:r>
              <w:rPr>
                <w:rFonts w:hint="eastAsia" w:ascii="宋体" w:hAnsi="宋体" w:eastAsia="宋体" w:cs="宋体"/>
                <w:b/>
                <w:color w:val="000000"/>
                <w:sz w:val="21"/>
                <w:szCs w:val="21"/>
                <w:highlight w:val="none"/>
                <w:shd w:val="clear" w:color="auto" w:fill="auto"/>
              </w:rPr>
              <w:t>序号</w:t>
            </w: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00" w:lineRule="exact"/>
              <w:ind w:right="240"/>
              <w:jc w:val="center"/>
              <w:rPr>
                <w:rFonts w:hint="eastAsia" w:ascii="宋体" w:hAnsi="宋体" w:eastAsia="宋体" w:cs="宋体"/>
                <w:b/>
                <w:color w:val="000000"/>
                <w:sz w:val="21"/>
                <w:szCs w:val="21"/>
                <w:highlight w:val="none"/>
                <w:shd w:val="clear" w:color="auto" w:fill="auto"/>
              </w:rPr>
            </w:pPr>
            <w:r>
              <w:rPr>
                <w:rFonts w:hint="eastAsia" w:ascii="宋体" w:hAnsi="宋体" w:eastAsia="宋体" w:cs="宋体"/>
                <w:b/>
                <w:color w:val="000000"/>
                <w:sz w:val="21"/>
                <w:szCs w:val="21"/>
                <w:highlight w:val="none"/>
                <w:shd w:val="clear" w:color="auto" w:fill="auto"/>
              </w:rPr>
              <w:t>被测单位名称</w:t>
            </w:r>
          </w:p>
        </w:tc>
        <w:tc>
          <w:tcPr>
            <w:tcW w:w="31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00" w:lineRule="exact"/>
              <w:ind w:right="240"/>
              <w:jc w:val="center"/>
              <w:rPr>
                <w:rFonts w:hint="eastAsia" w:ascii="宋体" w:hAnsi="宋体" w:eastAsia="宋体" w:cs="宋体"/>
                <w:b/>
                <w:color w:val="000000"/>
                <w:sz w:val="21"/>
                <w:szCs w:val="21"/>
                <w:highlight w:val="none"/>
                <w:shd w:val="clear" w:color="auto" w:fill="auto"/>
              </w:rPr>
            </w:pPr>
            <w:r>
              <w:rPr>
                <w:rFonts w:hint="eastAsia" w:ascii="宋体" w:hAnsi="宋体" w:eastAsia="宋体" w:cs="宋体"/>
                <w:b/>
                <w:color w:val="000000"/>
                <w:sz w:val="21"/>
                <w:szCs w:val="21"/>
                <w:highlight w:val="none"/>
                <w:shd w:val="clear" w:color="auto" w:fill="auto"/>
              </w:rPr>
              <w:t>被测系统名称</w:t>
            </w:r>
          </w:p>
        </w:tc>
        <w:tc>
          <w:tcPr>
            <w:tcW w:w="993" w:type="dxa"/>
            <w:tcBorders>
              <w:top w:val="single" w:color="000000" w:sz="4" w:space="0"/>
              <w:left w:val="nil"/>
              <w:bottom w:val="single" w:color="000000" w:sz="4" w:space="0"/>
              <w:right w:val="single" w:color="000000" w:sz="4" w:space="0"/>
            </w:tcBorders>
            <w:shd w:val="clear" w:color="auto" w:fill="auto"/>
            <w:noWrap w:val="0"/>
            <w:vAlign w:val="center"/>
          </w:tcPr>
          <w:p>
            <w:pPr>
              <w:spacing w:line="400" w:lineRule="exact"/>
              <w:ind w:right="240"/>
              <w:jc w:val="center"/>
              <w:rPr>
                <w:rFonts w:hint="eastAsia" w:ascii="宋体" w:hAnsi="宋体" w:eastAsia="宋体" w:cs="宋体"/>
                <w:b/>
                <w:color w:val="000000"/>
                <w:sz w:val="21"/>
                <w:szCs w:val="21"/>
                <w:highlight w:val="none"/>
                <w:shd w:val="clear" w:color="auto" w:fill="auto"/>
              </w:rPr>
            </w:pPr>
            <w:r>
              <w:rPr>
                <w:rFonts w:hint="eastAsia" w:ascii="宋体" w:hAnsi="宋体" w:eastAsia="宋体" w:cs="宋体"/>
                <w:b/>
                <w:color w:val="000000"/>
                <w:sz w:val="21"/>
                <w:szCs w:val="21"/>
                <w:highlight w:val="none"/>
                <w:shd w:val="clear" w:color="auto" w:fill="auto"/>
              </w:rPr>
              <w:t>数量</w:t>
            </w:r>
          </w:p>
        </w:tc>
        <w:tc>
          <w:tcPr>
            <w:tcW w:w="1479" w:type="dxa"/>
            <w:tcBorders>
              <w:top w:val="single" w:color="000000" w:sz="4" w:space="0"/>
              <w:left w:val="nil"/>
              <w:bottom w:val="single" w:color="000000" w:sz="4" w:space="0"/>
              <w:right w:val="single" w:color="000000" w:sz="4" w:space="0"/>
            </w:tcBorders>
            <w:shd w:val="clear" w:color="auto" w:fill="auto"/>
            <w:noWrap w:val="0"/>
            <w:vAlign w:val="center"/>
          </w:tcPr>
          <w:p>
            <w:pPr>
              <w:spacing w:line="400" w:lineRule="exact"/>
              <w:ind w:right="240"/>
              <w:jc w:val="center"/>
              <w:rPr>
                <w:rFonts w:hint="eastAsia" w:ascii="宋体" w:hAnsi="宋体" w:eastAsia="宋体" w:cs="宋体"/>
                <w:b/>
                <w:color w:val="000000"/>
                <w:sz w:val="21"/>
                <w:szCs w:val="21"/>
                <w:highlight w:val="none"/>
                <w:shd w:val="clear" w:color="auto" w:fill="auto"/>
              </w:rPr>
            </w:pPr>
            <w:r>
              <w:rPr>
                <w:rFonts w:hint="eastAsia" w:ascii="宋体" w:hAnsi="宋体" w:eastAsia="宋体" w:cs="宋体"/>
                <w:b/>
                <w:color w:val="000000"/>
                <w:sz w:val="21"/>
                <w:szCs w:val="21"/>
                <w:highlight w:val="none"/>
                <w:shd w:val="clear" w:color="auto" w:fill="auto"/>
              </w:rPr>
              <w:t>安全保护等级</w:t>
            </w:r>
          </w:p>
        </w:tc>
      </w:tr>
      <w:tr>
        <w:tblPrEx>
          <w:shd w:val="clear" w:color="auto" w:fill="auto"/>
          <w:tblCellMar>
            <w:top w:w="0" w:type="dxa"/>
            <w:left w:w="108" w:type="dxa"/>
            <w:bottom w:w="0" w:type="dxa"/>
            <w:right w:w="108" w:type="dxa"/>
          </w:tblCellMar>
        </w:tblPrEx>
        <w:trPr>
          <w:trHeight w:val="523"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1</w:t>
            </w: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line="400" w:lineRule="exact"/>
              <w:ind w:right="24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Hans"/>
              </w:rPr>
              <w:t>南通市</w:t>
            </w:r>
            <w:r>
              <w:rPr>
                <w:rFonts w:hint="eastAsia" w:ascii="宋体" w:hAnsi="宋体" w:eastAsia="宋体" w:cs="宋体"/>
                <w:color w:val="000000"/>
                <w:sz w:val="21"/>
                <w:szCs w:val="21"/>
                <w:highlight w:val="none"/>
                <w:lang w:val="en-US" w:eastAsia="zh-CN"/>
              </w:rPr>
              <w:t>中心血站</w:t>
            </w:r>
          </w:p>
        </w:tc>
        <w:tc>
          <w:tcPr>
            <w:tcW w:w="31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00" w:lineRule="exact"/>
              <w:ind w:right="240"/>
              <w:jc w:val="center"/>
              <w:rPr>
                <w:rFonts w:hint="eastAsia" w:ascii="宋体" w:hAnsi="宋体" w:eastAsia="宋体" w:cs="宋体"/>
                <w:color w:val="000000"/>
                <w:sz w:val="21"/>
                <w:szCs w:val="21"/>
                <w:highlight w:val="none"/>
                <w:lang w:eastAsia="zh-Hans"/>
              </w:rPr>
            </w:pPr>
            <w:r>
              <w:rPr>
                <w:rFonts w:hint="eastAsia" w:ascii="宋体" w:hAnsi="宋体" w:eastAsia="宋体" w:cs="宋体"/>
                <w:color w:val="000000"/>
                <w:sz w:val="21"/>
                <w:szCs w:val="21"/>
                <w:highlight w:val="none"/>
                <w:lang w:eastAsia="zh-Hans"/>
              </w:rPr>
              <w:t>穿越安全输血标准化系统</w:t>
            </w:r>
          </w:p>
        </w:tc>
        <w:tc>
          <w:tcPr>
            <w:tcW w:w="993" w:type="dxa"/>
            <w:tcBorders>
              <w:top w:val="single" w:color="000000" w:sz="4" w:space="0"/>
              <w:left w:val="nil"/>
              <w:bottom w:val="single" w:color="000000" w:sz="4" w:space="0"/>
              <w:right w:val="single" w:color="000000" w:sz="4" w:space="0"/>
            </w:tcBorders>
            <w:shd w:val="clear" w:color="auto" w:fill="auto"/>
            <w:noWrap w:val="0"/>
            <w:vAlign w:val="center"/>
          </w:tcPr>
          <w:p>
            <w:pPr>
              <w:spacing w:line="400" w:lineRule="exact"/>
              <w:ind w:right="24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479" w:type="dxa"/>
            <w:tcBorders>
              <w:top w:val="single" w:color="000000" w:sz="4" w:space="0"/>
              <w:left w:val="nil"/>
              <w:bottom w:val="single" w:color="000000" w:sz="4" w:space="0"/>
              <w:right w:val="single" w:color="000000" w:sz="4" w:space="0"/>
            </w:tcBorders>
            <w:shd w:val="clear" w:color="auto" w:fill="auto"/>
            <w:noWrap w:val="0"/>
            <w:vAlign w:val="center"/>
          </w:tcPr>
          <w:p>
            <w:pPr>
              <w:spacing w:line="400" w:lineRule="exact"/>
              <w:ind w:right="24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Hans"/>
              </w:rPr>
              <w:t>三</w:t>
            </w:r>
            <w:r>
              <w:rPr>
                <w:rFonts w:hint="eastAsia" w:ascii="宋体" w:hAnsi="宋体" w:eastAsia="宋体" w:cs="宋体"/>
                <w:color w:val="000000"/>
                <w:sz w:val="21"/>
                <w:szCs w:val="21"/>
                <w:highlight w:val="none"/>
              </w:rPr>
              <w:t>级</w:t>
            </w:r>
          </w:p>
        </w:tc>
      </w:tr>
      <w:bookmarkEnd w:id="0"/>
    </w:tbl>
    <w:p>
      <w:pPr>
        <w:pStyle w:val="4"/>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sz w:val="21"/>
          <w:szCs w:val="21"/>
        </w:rPr>
      </w:pPr>
      <w:r>
        <w:rPr>
          <w:rFonts w:hint="eastAsia" w:ascii="宋体" w:hAnsi="宋体" w:eastAsia="宋体" w:cs="宋体"/>
          <w:sz w:val="21"/>
          <w:szCs w:val="21"/>
          <w:lang w:val="en-US" w:eastAsia="zh-CN"/>
        </w:rPr>
        <w:t>二</w:t>
      </w:r>
      <w:r>
        <w:rPr>
          <w:rFonts w:hint="eastAsia" w:ascii="宋体" w:hAnsi="宋体" w:eastAsia="宋体" w:cs="宋体"/>
          <w:sz w:val="21"/>
          <w:szCs w:val="21"/>
        </w:rPr>
        <w:t>、测评内容</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1.</w:t>
      </w:r>
      <w:r>
        <w:rPr>
          <w:rFonts w:hint="eastAsia" w:ascii="宋体" w:hAnsi="宋体" w:eastAsia="宋体" w:cs="宋体"/>
          <w:sz w:val="21"/>
          <w:szCs w:val="21"/>
        </w:rPr>
        <w:t>总体要求：</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A．完成上述系统安全等级测评工作，测评后经用户方确认，出具符合</w:t>
      </w:r>
      <w:r>
        <w:rPr>
          <w:rStyle w:val="8"/>
          <w:rFonts w:hint="eastAsia" w:ascii="宋体" w:hAnsi="宋体" w:eastAsia="宋体" w:cs="宋体"/>
          <w:b w:val="0"/>
          <w:sz w:val="21"/>
          <w:szCs w:val="21"/>
        </w:rPr>
        <w:t>网络安全等级保护</w:t>
      </w:r>
      <w:r>
        <w:rPr>
          <w:rFonts w:hint="eastAsia" w:ascii="宋体" w:hAnsi="宋体" w:eastAsia="宋体" w:cs="宋体"/>
          <w:sz w:val="21"/>
          <w:szCs w:val="21"/>
        </w:rPr>
        <w:t>测评要求的测评报告；</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B．对上述系统不符合</w:t>
      </w:r>
      <w:r>
        <w:rPr>
          <w:rStyle w:val="8"/>
          <w:rFonts w:hint="eastAsia" w:ascii="宋体" w:hAnsi="宋体" w:eastAsia="宋体" w:cs="宋体"/>
          <w:b w:val="0"/>
          <w:sz w:val="21"/>
          <w:szCs w:val="21"/>
        </w:rPr>
        <w:t>网络安全等级保护</w:t>
      </w:r>
      <w:r>
        <w:rPr>
          <w:rFonts w:hint="eastAsia" w:ascii="宋体" w:hAnsi="宋体" w:eastAsia="宋体" w:cs="宋体"/>
          <w:sz w:val="21"/>
          <w:szCs w:val="21"/>
        </w:rPr>
        <w:t>有关管理规范和技术标准的，提出可行性整改方案，提供相应的安全整改建议书。</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2.</w:t>
      </w:r>
      <w:r>
        <w:rPr>
          <w:rFonts w:hint="eastAsia" w:ascii="宋体" w:hAnsi="宋体" w:eastAsia="宋体" w:cs="宋体"/>
          <w:sz w:val="21"/>
          <w:szCs w:val="21"/>
        </w:rPr>
        <w:t>质量要求：</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A．等级测评及服务原则：符合性原则、标准性原则、规范性原则、可控性原则、整体性原则。</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w:t>
      </w:r>
      <w:r>
        <w:rPr>
          <w:rStyle w:val="8"/>
          <w:rFonts w:hint="eastAsia" w:ascii="宋体" w:hAnsi="宋体" w:eastAsia="宋体" w:cs="宋体"/>
          <w:b w:val="0"/>
          <w:sz w:val="21"/>
          <w:szCs w:val="21"/>
        </w:rPr>
        <w:t>网络安全等级保护</w:t>
      </w:r>
      <w:r>
        <w:rPr>
          <w:rFonts w:hint="eastAsia" w:ascii="宋体" w:hAnsi="宋体" w:eastAsia="宋体" w:cs="宋体"/>
          <w:sz w:val="21"/>
          <w:szCs w:val="21"/>
        </w:rPr>
        <w:t>定级及测评服务依据：</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《中华人民共和国网络安全法》</w:t>
      </w:r>
    </w:p>
    <w:p>
      <w:pPr>
        <w:pageBreakBefore w:val="0"/>
        <w:kinsoku/>
        <w:wordWrap/>
        <w:overflowPunct/>
        <w:topLinePunct w:val="0"/>
        <w:autoSpaceDE/>
        <w:autoSpaceDN/>
        <w:bidi w:val="0"/>
        <w:adjustRightInd/>
        <w:snapToGrid/>
        <w:spacing w:line="360" w:lineRule="auto"/>
        <w:ind w:firstLine="420" w:firstLineChars="200"/>
        <w:textAlignment w:val="auto"/>
        <w:rPr>
          <w:rStyle w:val="8"/>
          <w:rFonts w:hint="eastAsia" w:ascii="宋体" w:hAnsi="宋体" w:eastAsia="宋体" w:cs="宋体"/>
          <w:b w:val="0"/>
          <w:sz w:val="21"/>
          <w:szCs w:val="21"/>
        </w:rPr>
      </w:pPr>
      <w:r>
        <w:rPr>
          <w:rStyle w:val="8"/>
          <w:rFonts w:hint="eastAsia" w:ascii="宋体" w:hAnsi="宋体" w:eastAsia="宋体" w:cs="宋体"/>
          <w:b w:val="0"/>
          <w:sz w:val="21"/>
          <w:szCs w:val="21"/>
        </w:rPr>
        <w:t>《GB/T22239-2019信息安全技术 网络安全等级保护基本要求》，</w:t>
      </w:r>
    </w:p>
    <w:p>
      <w:pPr>
        <w:pageBreakBefore w:val="0"/>
        <w:kinsoku/>
        <w:wordWrap/>
        <w:overflowPunct/>
        <w:topLinePunct w:val="0"/>
        <w:autoSpaceDE/>
        <w:autoSpaceDN/>
        <w:bidi w:val="0"/>
        <w:adjustRightInd/>
        <w:snapToGrid/>
        <w:spacing w:line="360" w:lineRule="auto"/>
        <w:ind w:firstLine="420" w:firstLineChars="200"/>
        <w:textAlignment w:val="auto"/>
        <w:rPr>
          <w:rStyle w:val="8"/>
          <w:rFonts w:hint="eastAsia" w:ascii="宋体" w:hAnsi="宋体" w:eastAsia="宋体" w:cs="宋体"/>
          <w:b w:val="0"/>
          <w:sz w:val="21"/>
          <w:szCs w:val="21"/>
        </w:rPr>
      </w:pPr>
      <w:r>
        <w:rPr>
          <w:rStyle w:val="8"/>
          <w:rFonts w:hint="eastAsia" w:ascii="宋体" w:hAnsi="宋体" w:eastAsia="宋体" w:cs="宋体"/>
          <w:b w:val="0"/>
          <w:sz w:val="21"/>
          <w:szCs w:val="21"/>
        </w:rPr>
        <w:t>《GB/T28448-2019 信息安全技术 网络安全等级保护测评要求》，</w:t>
      </w:r>
    </w:p>
    <w:p>
      <w:pPr>
        <w:pageBreakBefore w:val="0"/>
        <w:kinsoku/>
        <w:wordWrap/>
        <w:overflowPunct/>
        <w:topLinePunct w:val="0"/>
        <w:autoSpaceDE/>
        <w:autoSpaceDN/>
        <w:bidi w:val="0"/>
        <w:adjustRightInd/>
        <w:snapToGrid/>
        <w:spacing w:line="360" w:lineRule="auto"/>
        <w:ind w:firstLine="420" w:firstLineChars="200"/>
        <w:textAlignment w:val="auto"/>
        <w:rPr>
          <w:rStyle w:val="8"/>
          <w:rFonts w:hint="eastAsia" w:ascii="宋体" w:hAnsi="宋体" w:eastAsia="宋体" w:cs="宋体"/>
          <w:b w:val="0"/>
          <w:sz w:val="21"/>
          <w:szCs w:val="21"/>
        </w:rPr>
      </w:pPr>
      <w:r>
        <w:rPr>
          <w:rStyle w:val="8"/>
          <w:rFonts w:hint="eastAsia" w:ascii="宋体" w:hAnsi="宋体" w:eastAsia="宋体" w:cs="宋体"/>
          <w:b w:val="0"/>
          <w:sz w:val="21"/>
          <w:szCs w:val="21"/>
        </w:rPr>
        <w:t>《GB/T 28449-2018 信息安全技术 网络安全等级保护测评过程指南》，</w:t>
      </w:r>
    </w:p>
    <w:p>
      <w:pPr>
        <w:pageBreakBefore w:val="0"/>
        <w:kinsoku/>
        <w:wordWrap/>
        <w:overflowPunct/>
        <w:topLinePunct w:val="0"/>
        <w:autoSpaceDE/>
        <w:autoSpaceDN/>
        <w:bidi w:val="0"/>
        <w:adjustRightInd/>
        <w:snapToGrid/>
        <w:spacing w:line="360" w:lineRule="auto"/>
        <w:ind w:firstLine="420" w:firstLineChars="200"/>
        <w:textAlignment w:val="auto"/>
        <w:rPr>
          <w:rStyle w:val="8"/>
          <w:rFonts w:hint="eastAsia" w:ascii="宋体" w:hAnsi="宋体" w:eastAsia="宋体" w:cs="宋体"/>
          <w:b w:val="0"/>
          <w:sz w:val="21"/>
          <w:szCs w:val="21"/>
        </w:rPr>
      </w:pPr>
      <w:r>
        <w:rPr>
          <w:rStyle w:val="8"/>
          <w:rFonts w:hint="eastAsia" w:ascii="宋体" w:hAnsi="宋体" w:eastAsia="宋体" w:cs="宋体"/>
          <w:b w:val="0"/>
          <w:sz w:val="21"/>
          <w:szCs w:val="21"/>
        </w:rPr>
        <w:t>《GB/T 25058-2019 信息安全技术 网络安全等级保护实施指南》。</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3.</w:t>
      </w:r>
      <w:r>
        <w:rPr>
          <w:rFonts w:hint="eastAsia" w:ascii="宋体" w:hAnsi="宋体" w:eastAsia="宋体" w:cs="宋体"/>
          <w:sz w:val="21"/>
          <w:szCs w:val="21"/>
        </w:rPr>
        <w:t>网络安全等级保护测评内容：</w:t>
      </w:r>
    </w:p>
    <w:p>
      <w:pPr>
        <w:pageBreakBefore w:val="0"/>
        <w:kinsoku/>
        <w:wordWrap/>
        <w:overflowPunct/>
        <w:topLinePunct w:val="0"/>
        <w:autoSpaceDE/>
        <w:autoSpaceDN/>
        <w:bidi w:val="0"/>
        <w:adjustRightInd/>
        <w:snapToGrid/>
        <w:spacing w:before="156" w:beforeLines="50" w:after="156" w:afterLines="5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A．安全技术测评：包括安全物理环境、安全区域边界、安全通信网络、安全计算环境和安全管理中心五个方面的安全测评；</w:t>
      </w:r>
    </w:p>
    <w:p>
      <w:pPr>
        <w:pageBreakBefore w:val="0"/>
        <w:kinsoku/>
        <w:wordWrap/>
        <w:overflowPunct/>
        <w:topLinePunct w:val="0"/>
        <w:autoSpaceDE/>
        <w:autoSpaceDN/>
        <w:bidi w:val="0"/>
        <w:adjustRightInd/>
        <w:snapToGrid/>
        <w:spacing w:before="156" w:beforeLines="50" w:after="156" w:afterLines="50"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B．安全管理测评：安全管理机构、安全管理制度、安全管理人员、安全建设管理和安全运维管理五个方面的安全控制测评</w:t>
      </w:r>
      <w:r>
        <w:rPr>
          <w:rFonts w:hint="eastAsia" w:ascii="宋体" w:hAnsi="宋体" w:eastAsia="宋体" w:cs="宋体"/>
          <w:sz w:val="21"/>
          <w:szCs w:val="21"/>
          <w:lang w:eastAsia="zh-CN"/>
        </w:rPr>
        <w:t>；</w:t>
      </w:r>
    </w:p>
    <w:p>
      <w:pPr>
        <w:pageBreakBefore w:val="0"/>
        <w:kinsoku/>
        <w:wordWrap/>
        <w:overflowPunct/>
        <w:topLinePunct w:val="0"/>
        <w:autoSpaceDE/>
        <w:autoSpaceDN/>
        <w:bidi w:val="0"/>
        <w:adjustRightInd/>
        <w:snapToGrid/>
        <w:spacing w:before="156" w:beforeLines="50" w:after="156" w:afterLines="5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4.</w:t>
      </w:r>
      <w:r>
        <w:rPr>
          <w:rFonts w:hint="eastAsia" w:ascii="宋体" w:hAnsi="宋体" w:eastAsia="宋体" w:cs="宋体"/>
          <w:sz w:val="21"/>
          <w:szCs w:val="21"/>
        </w:rPr>
        <w:t>提供整改咨询服务，根据所测系统的最终测评报告，对系统现状提出安全整改建议并协助整改工作，以期达到整改目的。</w:t>
      </w:r>
    </w:p>
    <w:p>
      <w:pPr>
        <w:pStyle w:val="4"/>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sz w:val="21"/>
          <w:szCs w:val="21"/>
        </w:rPr>
      </w:pPr>
      <w:r>
        <w:rPr>
          <w:rFonts w:hint="eastAsia" w:ascii="宋体" w:hAnsi="宋体" w:eastAsia="宋体" w:cs="宋体"/>
          <w:sz w:val="21"/>
          <w:szCs w:val="21"/>
          <w:lang w:val="en-US" w:eastAsia="zh-CN"/>
        </w:rPr>
        <w:t>三</w:t>
      </w:r>
      <w:r>
        <w:rPr>
          <w:rFonts w:hint="eastAsia" w:ascii="宋体" w:hAnsi="宋体" w:eastAsia="宋体" w:cs="宋体"/>
          <w:sz w:val="21"/>
          <w:szCs w:val="21"/>
        </w:rPr>
        <w:t>、测评原则：</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1.</w:t>
      </w:r>
      <w:r>
        <w:rPr>
          <w:rFonts w:hint="eastAsia" w:ascii="宋体" w:hAnsi="宋体" w:eastAsia="宋体" w:cs="宋体"/>
          <w:sz w:val="21"/>
          <w:szCs w:val="21"/>
        </w:rPr>
        <w:t>客观性和公正性原则：</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测评人员应当没有偏见，在最小主观判断情形下，按照评估双方相互认可的评估方案，基于明确定义的测评方式和解释，实施评估活动。</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2.</w:t>
      </w:r>
      <w:r>
        <w:rPr>
          <w:rFonts w:hint="eastAsia" w:ascii="宋体" w:hAnsi="宋体" w:eastAsia="宋体" w:cs="宋体"/>
          <w:sz w:val="21"/>
          <w:szCs w:val="21"/>
        </w:rPr>
        <w:t>可重复性和可再现性原则：</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3.</w:t>
      </w:r>
      <w:r>
        <w:rPr>
          <w:rFonts w:hint="eastAsia" w:ascii="宋体" w:hAnsi="宋体" w:eastAsia="宋体" w:cs="宋体"/>
          <w:sz w:val="21"/>
          <w:szCs w:val="21"/>
        </w:rPr>
        <w:t>连续性原则：</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4.</w:t>
      </w:r>
      <w:r>
        <w:rPr>
          <w:rFonts w:hint="eastAsia" w:ascii="宋体" w:hAnsi="宋体" w:eastAsia="宋体" w:cs="宋体"/>
          <w:sz w:val="21"/>
          <w:szCs w:val="21"/>
        </w:rPr>
        <w:t>扩展性原则：</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在评估过程结束后，信息安全测评过程要保持扩展性，从扩展的属性上进一步加强测评结束后采购方的安全管理有效性和可用性。</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5.</w:t>
      </w:r>
      <w:r>
        <w:rPr>
          <w:rFonts w:hint="eastAsia" w:ascii="宋体" w:hAnsi="宋体" w:eastAsia="宋体" w:cs="宋体"/>
          <w:sz w:val="21"/>
          <w:szCs w:val="21"/>
        </w:rPr>
        <w:t>保密原则：</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在测评过程中，需严格遵循保密原则，双方签订保密协议，对服务过程中涉及到的任何用户信息未经允许不向其他任何第三方泄漏，以及不得利用这些信息损害采购方利益。</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6.</w:t>
      </w:r>
      <w:r>
        <w:rPr>
          <w:rFonts w:hint="eastAsia" w:ascii="宋体" w:hAnsi="宋体" w:eastAsia="宋体" w:cs="宋体"/>
          <w:sz w:val="21"/>
          <w:szCs w:val="21"/>
        </w:rPr>
        <w:t>互动原则：</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在整个测评过程中，强调采购方的互动参与，每个阶段都能够及时根据采购方的要求和实际情况对测评的内容、方式做出相关调整，进而更好的进行风险评估工作。</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7.</w:t>
      </w:r>
      <w:r>
        <w:rPr>
          <w:rFonts w:hint="eastAsia" w:ascii="宋体" w:hAnsi="宋体" w:eastAsia="宋体" w:cs="宋体"/>
          <w:sz w:val="21"/>
          <w:szCs w:val="21"/>
        </w:rPr>
        <w:t>最小影响原则：</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测评工作应该尽可能小地影响系统和网络的正常运行，不能对业务的正常运行产生明显的影响（包括系统性能明显下降、网络阻塞、服务中断等），如无法避免，则应做出说明。</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8.</w:t>
      </w:r>
      <w:r>
        <w:rPr>
          <w:rFonts w:hint="eastAsia" w:ascii="宋体" w:hAnsi="宋体" w:eastAsia="宋体" w:cs="宋体"/>
          <w:sz w:val="21"/>
          <w:szCs w:val="21"/>
        </w:rPr>
        <w:t>规范性原则：</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网络安全等级保护测评服务的实施必须由专业的测评服务人员依照规范的操作流程进行，对操作过程和结果要有相应的记录，并提供完整的服务报告。</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9.</w:t>
      </w:r>
      <w:r>
        <w:rPr>
          <w:rFonts w:hint="eastAsia" w:ascii="宋体" w:hAnsi="宋体" w:eastAsia="宋体" w:cs="宋体"/>
          <w:sz w:val="21"/>
          <w:szCs w:val="21"/>
        </w:rPr>
        <w:t>质量保障原则：</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在整个测评过程中，须特别重视项目质量管理。项目的实施将严格按照项目实施方案和流程进行，并由项目协调小组从中监督，控制项目的进度和质量。</w:t>
      </w:r>
    </w:p>
    <w:p>
      <w:pPr>
        <w:pStyle w:val="4"/>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sz w:val="21"/>
          <w:szCs w:val="21"/>
        </w:rPr>
      </w:pPr>
      <w:r>
        <w:rPr>
          <w:rFonts w:hint="eastAsia" w:ascii="宋体" w:hAnsi="宋体" w:eastAsia="宋体" w:cs="宋体"/>
          <w:sz w:val="21"/>
          <w:szCs w:val="21"/>
          <w:lang w:val="en-US" w:eastAsia="zh-CN"/>
        </w:rPr>
        <w:t>四</w:t>
      </w:r>
      <w:r>
        <w:rPr>
          <w:rFonts w:hint="eastAsia" w:ascii="宋体" w:hAnsi="宋体" w:eastAsia="宋体" w:cs="宋体"/>
          <w:sz w:val="21"/>
          <w:szCs w:val="21"/>
        </w:rPr>
        <w:t>、测评人员和时限要求：</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1.</w:t>
      </w:r>
      <w:r>
        <w:rPr>
          <w:rFonts w:hint="eastAsia" w:ascii="宋体" w:hAnsi="宋体" w:eastAsia="宋体" w:cs="宋体"/>
          <w:sz w:val="21"/>
          <w:szCs w:val="21"/>
        </w:rPr>
        <w:t>测评人员要求：本次测评至少需要1名高级测评师，1名中级测评师，2名初级测评师。本次等保测评项目不得转包或者分包，所有驻场测评师必须是中标公司自己的正式员工,所有驻场测评师必须持证上岗，响应文件中应提供项目组成员名单、社保主管部门出具的响应单位为其缴纳社保的证明、相关证书复印件等，未经采购方同意，项目组成员不得更改。</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2.</w:t>
      </w:r>
      <w:r>
        <w:rPr>
          <w:rFonts w:hint="eastAsia" w:ascii="宋体" w:hAnsi="宋体" w:eastAsia="宋体" w:cs="宋体"/>
          <w:sz w:val="21"/>
          <w:szCs w:val="21"/>
        </w:rPr>
        <w:t>测评时间要求：按照被测单位要求，合同签订完毕一周内启动测评工作。</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3.</w:t>
      </w:r>
      <w:r>
        <w:rPr>
          <w:rFonts w:hint="eastAsia" w:ascii="宋体" w:hAnsi="宋体" w:eastAsia="宋体" w:cs="宋体"/>
          <w:sz w:val="21"/>
          <w:szCs w:val="21"/>
        </w:rPr>
        <w:t>测评期限要求：签订合同后60天内完成</w:t>
      </w:r>
      <w:r>
        <w:rPr>
          <w:rFonts w:hint="eastAsia" w:ascii="宋体" w:hAnsi="宋体" w:eastAsia="宋体" w:cs="宋体"/>
          <w:color w:val="auto"/>
          <w:szCs w:val="21"/>
          <w:highlight w:val="none"/>
          <w:lang w:eastAsia="zh-CN"/>
        </w:rPr>
        <w:t>穿越安全输血标准化系统等级保护测评</w:t>
      </w:r>
      <w:r>
        <w:rPr>
          <w:rFonts w:hint="eastAsia" w:ascii="宋体" w:hAnsi="宋体" w:eastAsia="宋体" w:cs="宋体"/>
          <w:sz w:val="21"/>
          <w:szCs w:val="21"/>
        </w:rPr>
        <w:t>并出具盖章报告，并完成备案。</w:t>
      </w:r>
    </w:p>
    <w:p>
      <w:pPr>
        <w:pStyle w:val="4"/>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kern w:val="0"/>
          <w:sz w:val="21"/>
          <w:szCs w:val="21"/>
          <w:lang w:val="en-US" w:eastAsia="zh-CN"/>
        </w:rPr>
        <w:t>五</w:t>
      </w:r>
      <w:r>
        <w:rPr>
          <w:rFonts w:hint="eastAsia" w:ascii="宋体" w:hAnsi="宋体" w:eastAsia="宋体" w:cs="宋体"/>
          <w:kern w:val="0"/>
          <w:sz w:val="21"/>
          <w:szCs w:val="21"/>
        </w:rPr>
        <w:t>、服务地点</w:t>
      </w:r>
      <w:r>
        <w:rPr>
          <w:rFonts w:hint="eastAsia" w:ascii="宋体" w:hAnsi="宋体" w:eastAsia="宋体" w:cs="宋体"/>
          <w:kern w:val="0"/>
          <w:sz w:val="21"/>
          <w:szCs w:val="21"/>
          <w:lang w:val="en-US" w:eastAsia="zh-CN"/>
        </w:rPr>
        <w:t>及事项</w:t>
      </w:r>
      <w:r>
        <w:rPr>
          <w:rFonts w:hint="eastAsia" w:ascii="宋体" w:hAnsi="宋体" w:eastAsia="宋体" w:cs="宋体"/>
          <w:kern w:val="0"/>
          <w:sz w:val="21"/>
          <w:szCs w:val="21"/>
          <w:lang w:eastAsia="zh-CN"/>
        </w:rPr>
        <w:t>：</w:t>
      </w:r>
      <w:r>
        <w:rPr>
          <w:rFonts w:hint="eastAsia" w:ascii="宋体" w:hAnsi="宋体" w:eastAsia="宋体" w:cs="宋体"/>
          <w:b w:val="0"/>
          <w:bCs w:val="0"/>
          <w:kern w:val="2"/>
          <w:sz w:val="21"/>
          <w:szCs w:val="21"/>
          <w:lang w:val="en-US" w:eastAsia="zh-CN" w:bidi="ar-SA"/>
        </w:rPr>
        <w:t>确定成交供应商后，由南通市中心血站与成交供应商签订合同，并分别沟通部署相关工作。</w:t>
      </w:r>
    </w:p>
    <w:p>
      <w:pPr>
        <w:pStyle w:val="4"/>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0"/>
          <w:sz w:val="21"/>
          <w:szCs w:val="21"/>
        </w:rPr>
      </w:pPr>
      <w:r>
        <w:rPr>
          <w:rFonts w:hint="eastAsia" w:ascii="宋体" w:hAnsi="宋体" w:eastAsia="宋体" w:cs="宋体"/>
          <w:kern w:val="0"/>
          <w:sz w:val="21"/>
          <w:szCs w:val="21"/>
          <w:lang w:val="en-US" w:eastAsia="zh-CN"/>
        </w:rPr>
        <w:t>六</w:t>
      </w:r>
      <w:r>
        <w:rPr>
          <w:rFonts w:hint="eastAsia" w:ascii="宋体" w:hAnsi="宋体" w:eastAsia="宋体" w:cs="宋体"/>
          <w:kern w:val="0"/>
          <w:sz w:val="21"/>
          <w:szCs w:val="21"/>
        </w:rPr>
        <w:t>、付款时间和条件</w:t>
      </w:r>
    </w:p>
    <w:p>
      <w:pPr>
        <w:pStyle w:val="2"/>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sz w:val="21"/>
          <w:szCs w:val="21"/>
          <w:highlight w:val="none"/>
        </w:rPr>
        <w:t>提交测评报告后,采购人于</w:t>
      </w:r>
      <w:r>
        <w:rPr>
          <w:rFonts w:hint="eastAsia" w:eastAsia="宋体" w:cs="宋体"/>
          <w:sz w:val="21"/>
          <w:szCs w:val="21"/>
          <w:highlight w:val="none"/>
          <w:lang w:val="en-US" w:eastAsia="zh-CN"/>
        </w:rPr>
        <w:t>3</w:t>
      </w:r>
      <w:r>
        <w:rPr>
          <w:rFonts w:hint="eastAsia" w:ascii="宋体" w:hAnsi="宋体" w:eastAsia="宋体" w:cs="宋体"/>
          <w:sz w:val="21"/>
          <w:szCs w:val="21"/>
          <w:highlight w:val="none"/>
        </w:rPr>
        <w:t>0个工作日内一次性支付合同金额</w:t>
      </w:r>
      <w:r>
        <w:rPr>
          <w:rFonts w:hint="eastAsia" w:ascii="宋体" w:hAnsi="宋体" w:eastAsia="宋体" w:cs="宋体"/>
          <w:kern w:val="0"/>
          <w:sz w:val="21"/>
          <w:szCs w:val="21"/>
          <w:highlight w:val="none"/>
        </w:rPr>
        <w:t>。</w:t>
      </w:r>
      <w:r>
        <w:rPr>
          <w:rFonts w:hint="eastAsia" w:ascii="宋体" w:hAnsi="宋体" w:eastAsia="宋体" w:cs="宋体"/>
          <w:sz w:val="21"/>
          <w:szCs w:val="21"/>
          <w:highlight w:val="none"/>
        </w:rPr>
        <w:t>款项由采购人按相关财务支付规定办理支付手续。不得故意拖延支付时间。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3641C6"/>
    <w:rsid w:val="01705C99"/>
    <w:rsid w:val="0FC26D88"/>
    <w:rsid w:val="100828AD"/>
    <w:rsid w:val="147E133E"/>
    <w:rsid w:val="167421DE"/>
    <w:rsid w:val="187675E6"/>
    <w:rsid w:val="1946255C"/>
    <w:rsid w:val="1AE42514"/>
    <w:rsid w:val="1B1E6DD1"/>
    <w:rsid w:val="1B9362C3"/>
    <w:rsid w:val="2418219D"/>
    <w:rsid w:val="266D1322"/>
    <w:rsid w:val="27026E1B"/>
    <w:rsid w:val="2A790643"/>
    <w:rsid w:val="32047E1A"/>
    <w:rsid w:val="36BD095F"/>
    <w:rsid w:val="37FF0092"/>
    <w:rsid w:val="383B6F19"/>
    <w:rsid w:val="399E1B8D"/>
    <w:rsid w:val="417032FE"/>
    <w:rsid w:val="467B5DDC"/>
    <w:rsid w:val="51937B70"/>
    <w:rsid w:val="522C70F0"/>
    <w:rsid w:val="5AB24ABD"/>
    <w:rsid w:val="5C3641C6"/>
    <w:rsid w:val="6FE611FF"/>
    <w:rsid w:val="737050DC"/>
    <w:rsid w:val="73D85F1B"/>
    <w:rsid w:val="73E90B13"/>
    <w:rsid w:val="795E2147"/>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楷体_GB2312"/>
      <w:b/>
      <w:kern w:val="44"/>
      <w:sz w:val="44"/>
    </w:rPr>
  </w:style>
  <w:style w:type="paragraph" w:styleId="4">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1"/>
    <w:basedOn w:val="1"/>
    <w:qFormat/>
    <w:uiPriority w:val="99"/>
    <w:pPr>
      <w:spacing w:line="360" w:lineRule="auto"/>
      <w:ind w:firstLine="361"/>
    </w:pPr>
    <w:rPr>
      <w:rFonts w:ascii="宋体" w:hAnsi="宋体"/>
      <w:szCs w:val="24"/>
    </w:rPr>
  </w:style>
  <w:style w:type="paragraph" w:styleId="5">
    <w:name w:val="footer"/>
    <w:basedOn w:val="1"/>
    <w:uiPriority w:val="0"/>
    <w:pPr>
      <w:tabs>
        <w:tab w:val="center" w:pos="4153"/>
        <w:tab w:val="right" w:pos="8306"/>
      </w:tabs>
      <w:snapToGrid w:val="0"/>
      <w:jc w:val="left"/>
    </w:pPr>
    <w:rPr>
      <w:kern w:val="0"/>
      <w:sz w:val="18"/>
      <w:szCs w:val="18"/>
    </w:rPr>
  </w:style>
  <w:style w:type="character" w:customStyle="1" w:styleId="8">
    <w:name w:val="样式 小四 加粗"/>
    <w:basedOn w:val="7"/>
    <w:qFormat/>
    <w:uiPriority w:val="0"/>
    <w:rPr>
      <w:rFonts w:eastAsia="黑体"/>
      <w:b/>
      <w:bCs/>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2023-08-11T07:19:00Z</dcterms:created>
  <dc:creator>L</dc:creator>
  <cp:lastModifiedBy>L</cp:lastModifiedBy>
  <dcterms:modified xsi:type="dcterms:W3CDTF">2023-08-14T01:40:41Z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DF9B44C51A8847ADB522D1FDC3C9CAD0</vt:lpwstr>
  </property>
</Properties>
</file>