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9"/>
          <w:rFonts w:hint="eastAsia" w:ascii="宋体" w:hAnsi="宋体" w:eastAsia="宋体" w:cs="宋体"/>
          <w:b/>
          <w:color w:val="auto"/>
          <w:w w:val="80"/>
          <w:kern w:val="44"/>
          <w:sz w:val="36"/>
          <w:szCs w:val="36"/>
          <w:highlight w:val="none"/>
        </w:rPr>
      </w:pPr>
      <w:r>
        <w:rPr>
          <w:rStyle w:val="9"/>
          <w:rFonts w:hint="eastAsia" w:ascii="宋体" w:hAnsi="宋体" w:eastAsia="宋体" w:cs="宋体"/>
          <w:b/>
          <w:color w:val="auto"/>
          <w:w w:val="80"/>
          <w:kern w:val="44"/>
          <w:sz w:val="36"/>
          <w:szCs w:val="36"/>
          <w:highlight w:val="none"/>
          <w:lang w:eastAsia="zh-CN"/>
        </w:rPr>
        <w:t>南通市中心血站采血椅采购项目</w:t>
      </w:r>
      <w:r>
        <w:rPr>
          <w:rStyle w:val="9"/>
          <w:rFonts w:hint="eastAsia" w:ascii="宋体" w:hAnsi="宋体" w:eastAsia="宋体" w:cs="宋体"/>
          <w:b/>
          <w:color w:val="auto"/>
          <w:w w:val="80"/>
          <w:kern w:val="44"/>
          <w:sz w:val="36"/>
          <w:szCs w:val="36"/>
          <w:highlight w:val="none"/>
        </w:rPr>
        <w:t>需求</w:t>
      </w:r>
    </w:p>
    <w:p>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一、技术参数</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长×宽：≧2000×</w:t>
      </w:r>
      <w:r>
        <w:rPr>
          <w:rFonts w:hint="default" w:ascii="宋体" w:hAnsi="宋体" w:eastAsia="宋体" w:cs="宋体"/>
          <w:b w:val="0"/>
          <w:bCs w:val="0"/>
          <w:color w:val="auto"/>
          <w:kern w:val="0"/>
          <w:sz w:val="21"/>
          <w:szCs w:val="21"/>
          <w:highlight w:val="none"/>
        </w:rPr>
        <w:t>940</w:t>
      </w:r>
      <w:r>
        <w:rPr>
          <w:rFonts w:hint="eastAsia" w:ascii="宋体" w:hAnsi="宋体" w:eastAsia="宋体" w:cs="宋体"/>
          <w:b w:val="0"/>
          <w:bCs w:val="0"/>
          <w:color w:val="auto"/>
          <w:kern w:val="0"/>
          <w:sz w:val="21"/>
          <w:szCs w:val="21"/>
          <w:highlight w:val="none"/>
        </w:rPr>
        <w:t>mm。</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椅面升降：5</w:t>
      </w:r>
      <w:r>
        <w:rPr>
          <w:rFonts w:hint="default" w:ascii="宋体" w:hAnsi="宋体" w:eastAsia="宋体" w:cs="宋体"/>
          <w:b w:val="0"/>
          <w:bCs w:val="0"/>
          <w:color w:val="auto"/>
          <w:kern w:val="0"/>
          <w:sz w:val="21"/>
          <w:szCs w:val="21"/>
          <w:highlight w:val="none"/>
        </w:rPr>
        <w:t>9</w:t>
      </w:r>
      <w:r>
        <w:rPr>
          <w:rFonts w:hint="eastAsia" w:ascii="宋体" w:hAnsi="宋体" w:eastAsia="宋体" w:cs="宋体"/>
          <w:b w:val="0"/>
          <w:bCs w:val="0"/>
          <w:color w:val="auto"/>
          <w:kern w:val="0"/>
          <w:sz w:val="21"/>
          <w:szCs w:val="21"/>
          <w:highlight w:val="none"/>
        </w:rPr>
        <w:t>0mm~</w:t>
      </w:r>
      <w:r>
        <w:rPr>
          <w:rFonts w:hint="default" w:ascii="宋体" w:hAnsi="宋体" w:eastAsia="宋体" w:cs="宋体"/>
          <w:b w:val="0"/>
          <w:bCs w:val="0"/>
          <w:color w:val="auto"/>
          <w:kern w:val="0"/>
          <w:sz w:val="21"/>
          <w:szCs w:val="21"/>
          <w:highlight w:val="none"/>
        </w:rPr>
        <w:t>810</w:t>
      </w:r>
      <w:r>
        <w:rPr>
          <w:rFonts w:hint="eastAsia" w:ascii="宋体" w:hAnsi="宋体" w:eastAsia="宋体" w:cs="宋体"/>
          <w:b w:val="0"/>
          <w:bCs w:val="0"/>
          <w:color w:val="auto"/>
          <w:kern w:val="0"/>
          <w:sz w:val="21"/>
          <w:szCs w:val="21"/>
          <w:highlight w:val="none"/>
        </w:rPr>
        <w:t>mm</w:t>
      </w:r>
      <w:r>
        <w:rPr>
          <w:rFonts w:hint="eastAsia" w:ascii="宋体" w:hAnsi="宋体" w:eastAsia="宋体" w:cs="宋体"/>
          <w:b w:val="0"/>
          <w:bCs w:val="0"/>
          <w:color w:val="auto"/>
          <w:kern w:val="0"/>
          <w:sz w:val="21"/>
          <w:szCs w:val="21"/>
          <w:highlight w:val="none"/>
          <w:lang w:eastAsia="zh-CN"/>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rPr>
        <w:t>背板角度范围：-1</w:t>
      </w:r>
      <w:r>
        <w:rPr>
          <w:rFonts w:hint="default" w:ascii="宋体" w:hAnsi="宋体" w:eastAsia="宋体" w:cs="宋体"/>
          <w:b w:val="0"/>
          <w:bCs w:val="0"/>
          <w:color w:val="auto"/>
          <w:kern w:val="0"/>
          <w:sz w:val="21"/>
          <w:szCs w:val="21"/>
          <w:highlight w:val="none"/>
        </w:rPr>
        <w:t>5</w:t>
      </w:r>
      <w:r>
        <w:rPr>
          <w:rFonts w:hint="eastAsia" w:ascii="宋体" w:hAnsi="宋体" w:eastAsia="宋体" w:cs="宋体"/>
          <w:b w:val="0"/>
          <w:bCs w:val="0"/>
          <w:color w:val="auto"/>
          <w:kern w:val="0"/>
          <w:sz w:val="21"/>
          <w:szCs w:val="21"/>
          <w:highlight w:val="none"/>
        </w:rPr>
        <w:t>°~</w:t>
      </w:r>
      <w:r>
        <w:rPr>
          <w:rFonts w:hint="default" w:ascii="宋体" w:hAnsi="宋体" w:eastAsia="宋体" w:cs="宋体"/>
          <w:b w:val="0"/>
          <w:bCs w:val="0"/>
          <w:color w:val="auto"/>
          <w:kern w:val="0"/>
          <w:sz w:val="21"/>
          <w:szCs w:val="21"/>
          <w:highlight w:val="none"/>
        </w:rPr>
        <w:t>110</w:t>
      </w:r>
      <w:r>
        <w:rPr>
          <w:rFonts w:hint="eastAsia" w:ascii="宋体" w:hAnsi="宋体" w:eastAsia="宋体" w:cs="宋体"/>
          <w:b w:val="0"/>
          <w:bCs w:val="0"/>
          <w:color w:val="auto"/>
          <w:kern w:val="0"/>
          <w:sz w:val="21"/>
          <w:szCs w:val="21"/>
          <w:highlight w:val="none"/>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腿板角度范围：-</w:t>
      </w:r>
      <w:r>
        <w:rPr>
          <w:rFonts w:hint="default" w:ascii="宋体" w:hAnsi="宋体" w:eastAsia="宋体" w:cs="宋体"/>
          <w:b w:val="0"/>
          <w:bCs w:val="0"/>
          <w:color w:val="auto"/>
          <w:kern w:val="0"/>
          <w:sz w:val="21"/>
          <w:szCs w:val="21"/>
          <w:highlight w:val="none"/>
        </w:rPr>
        <w:t>45</w:t>
      </w:r>
      <w:r>
        <w:rPr>
          <w:rFonts w:hint="eastAsia" w:ascii="宋体" w:hAnsi="宋体" w:eastAsia="宋体" w:cs="宋体"/>
          <w:b w:val="0"/>
          <w:bCs w:val="0"/>
          <w:color w:val="auto"/>
          <w:kern w:val="0"/>
          <w:sz w:val="21"/>
          <w:szCs w:val="21"/>
          <w:highlight w:val="none"/>
        </w:rPr>
        <w:t>°~</w:t>
      </w:r>
      <w:r>
        <w:rPr>
          <w:rFonts w:hint="default" w:ascii="宋体" w:hAnsi="宋体" w:eastAsia="宋体" w:cs="宋体"/>
          <w:b w:val="0"/>
          <w:bCs w:val="0"/>
          <w:color w:val="auto"/>
          <w:kern w:val="0"/>
          <w:sz w:val="21"/>
          <w:szCs w:val="21"/>
          <w:highlight w:val="none"/>
        </w:rPr>
        <w:t>3</w:t>
      </w:r>
      <w:r>
        <w:rPr>
          <w:rFonts w:hint="eastAsia" w:ascii="宋体" w:hAnsi="宋体" w:eastAsia="宋体" w:cs="宋体"/>
          <w:b w:val="0"/>
          <w:bCs w:val="0"/>
          <w:color w:val="auto"/>
          <w:kern w:val="0"/>
          <w:sz w:val="21"/>
          <w:szCs w:val="21"/>
          <w:highlight w:val="none"/>
        </w:rPr>
        <w:t>0°</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rPr>
        <w:t>采血扶手板：480mm×160mm，可水平范围内 0~180°角度调节，可升高10cm，配</w:t>
      </w:r>
      <w:r>
        <w:rPr>
          <w:rFonts w:hint="eastAsia" w:ascii="宋体" w:hAnsi="宋体" w:eastAsia="宋体" w:cs="宋体"/>
          <w:b w:val="0"/>
          <w:bCs w:val="0"/>
          <w:color w:val="auto"/>
          <w:kern w:val="0"/>
          <w:sz w:val="21"/>
          <w:szCs w:val="21"/>
          <w:highlight w:val="none"/>
          <w:lang w:val="en-US" w:eastAsia="zh-Hans"/>
        </w:rPr>
        <w:t>温控</w:t>
      </w:r>
      <w:r>
        <w:rPr>
          <w:rFonts w:hint="eastAsia" w:ascii="宋体" w:hAnsi="宋体" w:eastAsia="宋体" w:cs="宋体"/>
          <w:b w:val="0"/>
          <w:bCs w:val="0"/>
          <w:color w:val="auto"/>
          <w:kern w:val="0"/>
          <w:sz w:val="21"/>
          <w:szCs w:val="21"/>
          <w:highlight w:val="none"/>
        </w:rPr>
        <w:t>电</w:t>
      </w:r>
      <w:r>
        <w:rPr>
          <w:rFonts w:hint="eastAsia" w:ascii="宋体" w:hAnsi="宋体" w:eastAsia="宋体" w:cs="宋体"/>
          <w:b w:val="0"/>
          <w:bCs w:val="0"/>
          <w:color w:val="auto"/>
          <w:kern w:val="0"/>
          <w:sz w:val="21"/>
          <w:szCs w:val="21"/>
          <w:highlight w:val="none"/>
          <w:lang w:val="en-US" w:eastAsia="zh-Hans"/>
        </w:rPr>
        <w:t>加热</w:t>
      </w:r>
      <w:r>
        <w:rPr>
          <w:rFonts w:hint="eastAsia" w:ascii="宋体" w:hAnsi="宋体" w:eastAsia="宋体" w:cs="宋体"/>
          <w:b w:val="0"/>
          <w:bCs w:val="0"/>
          <w:color w:val="auto"/>
          <w:kern w:val="0"/>
          <w:sz w:val="21"/>
          <w:szCs w:val="21"/>
          <w:highlight w:val="none"/>
        </w:rPr>
        <w:t>装置。</w:t>
      </w:r>
      <w:r>
        <w:rPr>
          <w:rFonts w:hint="eastAsia" w:ascii="宋体" w:hAnsi="宋体" w:eastAsia="宋体" w:cs="宋体"/>
          <w:b w:val="0"/>
          <w:bCs w:val="0"/>
          <w:color w:val="auto"/>
          <w:kern w:val="0"/>
          <w:sz w:val="21"/>
          <w:szCs w:val="21"/>
          <w:highlight w:val="none"/>
          <w:lang w:val="en-US" w:eastAsia="zh-Hans"/>
        </w:rPr>
        <w:t>在扶手位置设</w:t>
      </w:r>
      <w:r>
        <w:rPr>
          <w:rFonts w:hint="eastAsia" w:ascii="宋体" w:hAnsi="宋体" w:eastAsia="宋体" w:cs="宋体"/>
          <w:b w:val="0"/>
          <w:bCs w:val="0"/>
          <w:color w:val="auto"/>
          <w:kern w:val="0"/>
          <w:sz w:val="21"/>
          <w:szCs w:val="21"/>
          <w:highlight w:val="none"/>
        </w:rPr>
        <w:t>分高档位和低档位两档控制，最高调节温度在35度。</w:t>
      </w:r>
      <w:r>
        <w:rPr>
          <w:rFonts w:hint="eastAsia" w:ascii="宋体" w:hAnsi="宋体" w:eastAsia="宋体" w:cs="宋体"/>
          <w:b w:val="0"/>
          <w:bCs w:val="0"/>
          <w:color w:val="auto"/>
          <w:kern w:val="0"/>
          <w:sz w:val="21"/>
          <w:szCs w:val="21"/>
          <w:highlight w:val="none"/>
          <w:lang w:val="en-US" w:eastAsia="zh-Hans"/>
        </w:rPr>
        <w:t>提供实物图片分别进行说明</w:t>
      </w:r>
      <w:r>
        <w:rPr>
          <w:rFonts w:hint="eastAsia" w:ascii="宋体" w:hAnsi="宋体" w:eastAsia="宋体" w:cs="宋体"/>
          <w:b w:val="0"/>
          <w:bCs w:val="0"/>
          <w:color w:val="auto"/>
          <w:kern w:val="0"/>
          <w:sz w:val="21"/>
          <w:szCs w:val="21"/>
          <w:highlight w:val="none"/>
          <w:lang w:val="en-US" w:eastAsia="zh-CN"/>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rPr>
        <w:t>多体位调节：使用≧</w:t>
      </w:r>
      <w:r>
        <w:rPr>
          <w:rFonts w:hint="default" w:ascii="宋体" w:hAnsi="宋体" w:eastAsia="宋体" w:cs="宋体"/>
          <w:b w:val="0"/>
          <w:bCs w:val="0"/>
          <w:color w:val="auto"/>
          <w:kern w:val="0"/>
          <w:sz w:val="21"/>
          <w:szCs w:val="21"/>
          <w:highlight w:val="none"/>
        </w:rPr>
        <w:t>6</w:t>
      </w:r>
      <w:r>
        <w:rPr>
          <w:rFonts w:hint="eastAsia" w:ascii="宋体" w:hAnsi="宋体" w:eastAsia="宋体" w:cs="宋体"/>
          <w:b w:val="0"/>
          <w:bCs w:val="0"/>
          <w:color w:val="auto"/>
          <w:kern w:val="0"/>
          <w:sz w:val="21"/>
          <w:szCs w:val="21"/>
          <w:highlight w:val="none"/>
        </w:rPr>
        <w:t>组静音电机，电动调节背部、腿部</w:t>
      </w:r>
      <w:r>
        <w:rPr>
          <w:rFonts w:hint="eastAsia" w:ascii="宋体" w:hAnsi="宋体" w:eastAsia="宋体" w:cs="宋体"/>
          <w:b w:val="0"/>
          <w:bCs w:val="0"/>
          <w:color w:val="auto"/>
          <w:kern w:val="0"/>
          <w:sz w:val="21"/>
          <w:szCs w:val="21"/>
          <w:highlight w:val="none"/>
          <w:lang w:eastAsia="zh-Hans"/>
        </w:rPr>
        <w:t>、</w:t>
      </w:r>
      <w:r>
        <w:rPr>
          <w:rFonts w:hint="eastAsia" w:ascii="宋体" w:hAnsi="宋体" w:eastAsia="宋体" w:cs="宋体"/>
          <w:b w:val="0"/>
          <w:bCs w:val="0"/>
          <w:color w:val="auto"/>
          <w:kern w:val="0"/>
          <w:sz w:val="21"/>
          <w:szCs w:val="21"/>
          <w:highlight w:val="none"/>
          <w:lang w:val="en-US" w:eastAsia="zh-Hans"/>
        </w:rPr>
        <w:t>踏脚板、和双扶手，有</w:t>
      </w:r>
      <w:r>
        <w:rPr>
          <w:rFonts w:hint="eastAsia" w:ascii="宋体" w:hAnsi="宋体" w:eastAsia="宋体" w:cs="宋体"/>
          <w:b w:val="0"/>
          <w:bCs w:val="0"/>
          <w:color w:val="auto"/>
          <w:kern w:val="0"/>
          <w:sz w:val="21"/>
          <w:szCs w:val="21"/>
          <w:highlight w:val="none"/>
        </w:rPr>
        <w:t>倾斜反休克体位。晕针发生时由正常采血体位到达反休克体位</w:t>
      </w:r>
      <w:r>
        <w:rPr>
          <w:rFonts w:hint="eastAsia" w:ascii="宋体" w:hAnsi="宋体" w:eastAsia="宋体" w:cs="宋体"/>
          <w:b w:val="0"/>
          <w:bCs w:val="0"/>
          <w:color w:val="auto"/>
          <w:kern w:val="0"/>
          <w:sz w:val="21"/>
          <w:szCs w:val="21"/>
          <w:highlight w:val="none"/>
          <w:lang w:val="en-US" w:eastAsia="zh-Hans"/>
        </w:rPr>
        <w:t>最快</w:t>
      </w:r>
      <w:r>
        <w:rPr>
          <w:rFonts w:hint="eastAsia" w:ascii="宋体" w:hAnsi="宋体" w:eastAsia="宋体" w:cs="宋体"/>
          <w:b w:val="0"/>
          <w:bCs w:val="0"/>
          <w:color w:val="auto"/>
          <w:kern w:val="0"/>
          <w:sz w:val="21"/>
          <w:szCs w:val="21"/>
          <w:highlight w:val="none"/>
        </w:rPr>
        <w:t>小于4秒，即保持平躺，头低脚高体位。标配脚踏开关，各种体位调节无需手控操作器就可完成，方便快捷</w:t>
      </w:r>
      <w:r>
        <w:rPr>
          <w:rFonts w:hint="eastAsia" w:ascii="宋体" w:hAnsi="宋体" w:eastAsia="宋体" w:cs="宋体"/>
          <w:b w:val="0"/>
          <w:bCs w:val="0"/>
          <w:color w:val="auto"/>
          <w:kern w:val="0"/>
          <w:sz w:val="21"/>
          <w:szCs w:val="21"/>
          <w:highlight w:val="none"/>
          <w:lang w:eastAsia="zh-CN"/>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w:t>
      </w:r>
      <w:r>
        <w:rPr>
          <w:rFonts w:hint="eastAsia" w:ascii="宋体" w:hAnsi="宋体" w:eastAsia="宋体" w:cs="宋体"/>
          <w:b w:val="0"/>
          <w:bCs w:val="0"/>
          <w:color w:val="auto"/>
          <w:kern w:val="0"/>
          <w:sz w:val="21"/>
          <w:szCs w:val="21"/>
          <w:highlight w:val="none"/>
        </w:rPr>
        <w:t>可</w:t>
      </w:r>
      <w:r>
        <w:rPr>
          <w:rFonts w:hint="eastAsia" w:ascii="宋体" w:hAnsi="宋体" w:eastAsia="宋体" w:cs="宋体"/>
          <w:b w:val="0"/>
          <w:bCs w:val="0"/>
          <w:color w:val="auto"/>
          <w:kern w:val="0"/>
          <w:sz w:val="21"/>
          <w:szCs w:val="21"/>
          <w:highlight w:val="none"/>
          <w:lang w:val="en-US" w:eastAsia="zh-Hans"/>
        </w:rPr>
        <w:t>电动</w:t>
      </w:r>
      <w:r>
        <w:rPr>
          <w:rFonts w:hint="eastAsia" w:ascii="宋体" w:hAnsi="宋体" w:eastAsia="宋体" w:cs="宋体"/>
          <w:b w:val="0"/>
          <w:bCs w:val="0"/>
          <w:color w:val="auto"/>
          <w:kern w:val="0"/>
          <w:sz w:val="21"/>
          <w:szCs w:val="21"/>
          <w:highlight w:val="none"/>
        </w:rPr>
        <w:t>伸缩，可折叠式脚踏为献血者提供优级舒适的采血过程，满足不同身高献血者需要。</w:t>
      </w:r>
      <w:r>
        <w:rPr>
          <w:rFonts w:hint="eastAsia" w:ascii="宋体" w:hAnsi="宋体" w:eastAsia="宋体" w:cs="宋体"/>
          <w:b w:val="0"/>
          <w:bCs w:val="0"/>
          <w:color w:val="auto"/>
          <w:kern w:val="0"/>
          <w:sz w:val="21"/>
          <w:szCs w:val="21"/>
          <w:highlight w:val="none"/>
          <w:lang w:val="en-US" w:eastAsia="zh-Hans"/>
        </w:rPr>
        <w:t>头枕可自主调节</w:t>
      </w:r>
      <w:r>
        <w:rPr>
          <w:rFonts w:hint="default" w:ascii="宋体" w:hAnsi="宋体" w:eastAsia="宋体" w:cs="宋体"/>
          <w:b w:val="0"/>
          <w:bCs w:val="0"/>
          <w:color w:val="auto"/>
          <w:kern w:val="0"/>
          <w:sz w:val="21"/>
          <w:szCs w:val="21"/>
          <w:highlight w:val="none"/>
          <w:lang w:eastAsia="zh-Hans"/>
        </w:rPr>
        <w:t>15~0</w:t>
      </w:r>
      <w:r>
        <w:rPr>
          <w:rFonts w:hint="eastAsia" w:ascii="宋体" w:hAnsi="宋体" w:eastAsia="宋体" w:cs="宋体"/>
          <w:b w:val="0"/>
          <w:bCs w:val="0"/>
          <w:color w:val="auto"/>
          <w:kern w:val="0"/>
          <w:sz w:val="21"/>
          <w:szCs w:val="21"/>
          <w:highlight w:val="none"/>
        </w:rPr>
        <w:t>cm</w:t>
      </w:r>
      <w:r>
        <w:rPr>
          <w:rFonts w:hint="default"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Hans"/>
        </w:rPr>
        <w:t>提供实物图片进行说明</w:t>
      </w:r>
      <w:r>
        <w:rPr>
          <w:rFonts w:hint="eastAsia" w:ascii="宋体" w:hAnsi="宋体" w:eastAsia="宋体" w:cs="宋体"/>
          <w:b w:val="0"/>
          <w:bCs w:val="0"/>
          <w:color w:val="auto"/>
          <w:kern w:val="0"/>
          <w:sz w:val="21"/>
          <w:szCs w:val="21"/>
          <w:highlight w:val="none"/>
          <w:lang w:val="en-US" w:eastAsia="zh-CN"/>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w:t>
      </w:r>
      <w:r>
        <w:rPr>
          <w:rFonts w:hint="eastAsia" w:ascii="宋体" w:hAnsi="宋体" w:eastAsia="宋体" w:cs="宋体"/>
          <w:b w:val="0"/>
          <w:bCs w:val="0"/>
          <w:color w:val="auto"/>
          <w:kern w:val="0"/>
          <w:sz w:val="21"/>
          <w:szCs w:val="21"/>
          <w:highlight w:val="none"/>
        </w:rPr>
        <w:t>椅子配备2000×580mm无纺布规格椅套便捷自动更换装置，实现一人一座垫，防止交叉感染。</w:t>
      </w:r>
      <w:r>
        <w:rPr>
          <w:rFonts w:hint="eastAsia" w:ascii="宋体" w:hAnsi="宋体" w:eastAsia="宋体" w:cs="宋体"/>
          <w:b w:val="0"/>
          <w:bCs w:val="0"/>
          <w:color w:val="auto"/>
          <w:kern w:val="0"/>
          <w:sz w:val="21"/>
          <w:szCs w:val="21"/>
          <w:highlight w:val="none"/>
          <w:lang w:val="en-US" w:eastAsia="zh-Hans"/>
        </w:rPr>
        <w:t>提供实物图片说明</w:t>
      </w:r>
      <w:r>
        <w:rPr>
          <w:rFonts w:hint="eastAsia" w:ascii="宋体" w:hAnsi="宋体" w:eastAsia="宋体" w:cs="宋体"/>
          <w:b w:val="0"/>
          <w:bCs w:val="0"/>
          <w:color w:val="auto"/>
          <w:kern w:val="0"/>
          <w:sz w:val="21"/>
          <w:szCs w:val="21"/>
          <w:highlight w:val="none"/>
          <w:lang w:val="en-US" w:eastAsia="zh-CN"/>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9.</w:t>
      </w:r>
      <w:r>
        <w:rPr>
          <w:rFonts w:hint="eastAsia" w:ascii="宋体" w:hAnsi="宋体" w:eastAsia="宋体" w:cs="宋体"/>
          <w:b w:val="0"/>
          <w:bCs w:val="0"/>
          <w:color w:val="auto"/>
          <w:kern w:val="0"/>
          <w:sz w:val="21"/>
          <w:szCs w:val="21"/>
          <w:highlight w:val="none"/>
        </w:rPr>
        <w:t>带刹车移动脚轮，方便移动。坐垫：PU泡沫</w:t>
      </w:r>
      <w:r>
        <w:rPr>
          <w:rFonts w:hint="eastAsia" w:ascii="宋体" w:hAnsi="宋体" w:eastAsia="宋体" w:cs="宋体"/>
          <w:b w:val="0"/>
          <w:bCs w:val="0"/>
          <w:color w:val="auto"/>
          <w:kern w:val="0"/>
          <w:sz w:val="21"/>
          <w:szCs w:val="21"/>
          <w:highlight w:val="none"/>
          <w:lang w:eastAsia="zh-CN"/>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10.</w:t>
      </w:r>
      <w:r>
        <w:rPr>
          <w:rFonts w:hint="eastAsia" w:ascii="宋体" w:hAnsi="宋体" w:eastAsia="宋体" w:cs="宋体"/>
          <w:b w:val="0"/>
          <w:bCs w:val="0"/>
          <w:color w:val="auto"/>
          <w:kern w:val="0"/>
          <w:sz w:val="21"/>
          <w:szCs w:val="21"/>
          <w:highlight w:val="none"/>
        </w:rPr>
        <w:t>具有水杯放置区域，有加热和冷却温度数显功能</w:t>
      </w:r>
      <w:r>
        <w:rPr>
          <w:rFonts w:hint="eastAsia" w:ascii="宋体" w:hAnsi="宋体" w:eastAsia="宋体" w:cs="宋体"/>
          <w:b w:val="0"/>
          <w:bCs w:val="0"/>
          <w:color w:val="auto"/>
          <w:kern w:val="0"/>
          <w:sz w:val="21"/>
          <w:szCs w:val="21"/>
          <w:highlight w:val="none"/>
          <w:lang w:eastAsia="zh-CN"/>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11.</w:t>
      </w:r>
      <w:r>
        <w:rPr>
          <w:rFonts w:hint="eastAsia" w:ascii="宋体" w:hAnsi="宋体" w:eastAsia="宋体" w:cs="宋体"/>
          <w:b w:val="0"/>
          <w:bCs w:val="0"/>
          <w:color w:val="auto"/>
          <w:kern w:val="0"/>
          <w:sz w:val="21"/>
          <w:szCs w:val="21"/>
          <w:highlight w:val="none"/>
        </w:rPr>
        <w:t>椅垫用聚氨酯定向发泡一次成形高密度特制海绵制作，豪华舒适、久经耐用。</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12.</w:t>
      </w:r>
      <w:r>
        <w:rPr>
          <w:rFonts w:hint="eastAsia" w:ascii="宋体" w:hAnsi="宋体" w:eastAsia="宋体" w:cs="宋体"/>
          <w:b w:val="0"/>
          <w:bCs w:val="0"/>
          <w:color w:val="auto"/>
          <w:kern w:val="0"/>
          <w:sz w:val="21"/>
          <w:szCs w:val="21"/>
          <w:highlight w:val="none"/>
        </w:rPr>
        <w:t>框架：Q235钢管，面料：聚氯乙烯皮革，防火、防水，抗菌，耐消毒液腐蚀</w:t>
      </w:r>
      <w:r>
        <w:rPr>
          <w:rFonts w:hint="eastAsia" w:ascii="宋体" w:hAnsi="宋体" w:eastAsia="宋体" w:cs="宋体"/>
          <w:b w:val="0"/>
          <w:bCs w:val="0"/>
          <w:color w:val="auto"/>
          <w:kern w:val="0"/>
          <w:sz w:val="21"/>
          <w:szCs w:val="21"/>
          <w:highlight w:val="none"/>
          <w:lang w:eastAsia="zh-CN"/>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13.</w:t>
      </w:r>
      <w:r>
        <w:rPr>
          <w:rFonts w:hint="eastAsia" w:ascii="宋体" w:hAnsi="宋体" w:eastAsia="宋体" w:cs="宋体"/>
          <w:b w:val="0"/>
          <w:bCs w:val="0"/>
          <w:color w:val="auto"/>
          <w:kern w:val="0"/>
          <w:sz w:val="21"/>
          <w:szCs w:val="21"/>
          <w:highlight w:val="none"/>
        </w:rPr>
        <w:t>控制盒电源：AV220V/50HZ  100VA，最大承重200kg</w:t>
      </w:r>
      <w:r>
        <w:rPr>
          <w:rFonts w:hint="eastAsia" w:ascii="宋体" w:hAnsi="宋体" w:eastAsia="宋体" w:cs="宋体"/>
          <w:b w:val="0"/>
          <w:bCs w:val="0"/>
          <w:color w:val="auto"/>
          <w:kern w:val="0"/>
          <w:sz w:val="21"/>
          <w:szCs w:val="21"/>
          <w:highlight w:val="none"/>
          <w:lang w:eastAsia="zh-CN"/>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14.</w:t>
      </w:r>
      <w:r>
        <w:rPr>
          <w:rFonts w:hint="eastAsia" w:ascii="宋体" w:hAnsi="宋体" w:eastAsia="宋体" w:cs="宋体"/>
          <w:b w:val="0"/>
          <w:bCs w:val="0"/>
          <w:color w:val="auto"/>
          <w:kern w:val="0"/>
          <w:sz w:val="21"/>
          <w:szCs w:val="21"/>
          <w:highlight w:val="none"/>
          <w:lang w:val="en-US" w:eastAsia="zh-Hans"/>
        </w:rPr>
        <w:t>采血椅整体设计美观、科学合理，符合现代年轻人审美外观</w:t>
      </w:r>
      <w:r>
        <w:rPr>
          <w:rFonts w:hint="eastAsia" w:ascii="宋体" w:hAnsi="宋体" w:eastAsia="宋体" w:cs="宋体"/>
          <w:b w:val="0"/>
          <w:bCs w:val="0"/>
          <w:color w:val="auto"/>
          <w:kern w:val="0"/>
          <w:sz w:val="21"/>
          <w:szCs w:val="21"/>
          <w:highlight w:val="none"/>
          <w:lang w:val="en-US" w:eastAsia="zh-CN"/>
        </w:rPr>
        <w:t>。</w:t>
      </w:r>
    </w:p>
    <w:p>
      <w:pPr>
        <w:keepNext w:val="0"/>
        <w:keepLines w:val="0"/>
        <w:pageBreakBefore w:val="0"/>
        <w:numPr>
          <w:ilvl w:val="0"/>
          <w:numId w:val="0"/>
        </w:numPr>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二、采购数量：3台</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三、技术服务</w:t>
      </w:r>
      <w:r>
        <w:rPr>
          <w:rFonts w:hint="eastAsia" w:ascii="宋体" w:hAnsi="宋体" w:eastAsia="宋体" w:cs="宋体"/>
          <w:b/>
          <w:color w:val="auto"/>
          <w:sz w:val="21"/>
          <w:szCs w:val="21"/>
          <w:highlight w:val="none"/>
          <w:lang w:eastAsia="zh-CN"/>
        </w:rPr>
        <w:t>与</w:t>
      </w:r>
      <w:r>
        <w:rPr>
          <w:rFonts w:hint="eastAsia" w:ascii="宋体" w:hAnsi="宋体" w:eastAsia="宋体" w:cs="宋体"/>
          <w:b/>
          <w:color w:val="auto"/>
          <w:sz w:val="21"/>
          <w:szCs w:val="21"/>
          <w:highlight w:val="none"/>
          <w:lang w:val="en-US" w:eastAsia="zh-CN"/>
        </w:rPr>
        <w:t>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.合同履行期限：供货安装期合同签订后</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个日历天</w:t>
      </w:r>
      <w:r>
        <w:rPr>
          <w:rFonts w:hint="eastAsia" w:ascii="宋体" w:hAnsi="宋体" w:eastAsia="宋体" w:cs="宋体"/>
          <w:color w:val="auto"/>
          <w:sz w:val="21"/>
          <w:szCs w:val="21"/>
          <w:highlight w:val="none"/>
        </w:rPr>
        <w:t>。</w:t>
      </w:r>
    </w:p>
    <w:p>
      <w:pPr>
        <w:keepNext w:val="0"/>
        <w:keepLines w:val="0"/>
        <w:pageBreakBefore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提供</w:t>
      </w:r>
      <w:r>
        <w:rPr>
          <w:rFonts w:hint="eastAsia" w:ascii="宋体" w:hAnsi="宋体" w:eastAsia="宋体" w:cs="宋体"/>
          <w:b w:val="0"/>
          <w:bCs w:val="0"/>
          <w:color w:val="auto"/>
          <w:sz w:val="21"/>
          <w:szCs w:val="21"/>
          <w:highlight w:val="none"/>
          <w:lang w:val="en-US" w:eastAsia="zh-CN"/>
        </w:rPr>
        <w:t>至少一年</w:t>
      </w:r>
      <w:r>
        <w:rPr>
          <w:rFonts w:hint="eastAsia" w:ascii="宋体" w:hAnsi="宋体" w:eastAsia="宋体" w:cs="宋体"/>
          <w:b w:val="0"/>
          <w:bCs w:val="0"/>
          <w:color w:val="auto"/>
          <w:sz w:val="21"/>
          <w:szCs w:val="21"/>
          <w:highlight w:val="none"/>
        </w:rPr>
        <w:t>免费保修，厂商</w:t>
      </w:r>
      <w:r>
        <w:rPr>
          <w:rFonts w:hint="eastAsia" w:ascii="宋体" w:hAnsi="宋体" w:eastAsia="宋体" w:cs="宋体"/>
          <w:b w:val="0"/>
          <w:bCs w:val="0"/>
          <w:color w:val="auto"/>
          <w:sz w:val="21"/>
          <w:szCs w:val="21"/>
          <w:highlight w:val="none"/>
          <w:lang w:val="en-US" w:eastAsia="zh-CN"/>
        </w:rPr>
        <w:t>在省内</w:t>
      </w:r>
      <w:r>
        <w:rPr>
          <w:rFonts w:hint="eastAsia" w:ascii="宋体" w:hAnsi="宋体" w:eastAsia="宋体" w:cs="宋体"/>
          <w:b w:val="0"/>
          <w:bCs w:val="0"/>
          <w:color w:val="auto"/>
          <w:sz w:val="21"/>
          <w:szCs w:val="21"/>
          <w:highlight w:val="none"/>
        </w:rPr>
        <w:t>有售后服务部</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highlight w:val="none"/>
        </w:rPr>
        <w:t>配有专业售后服务人员</w:t>
      </w:r>
    </w:p>
    <w:p>
      <w:pPr>
        <w:keepNext w:val="0"/>
        <w:keepLines w:val="0"/>
        <w:pageBreakBefore w:val="0"/>
        <w:numPr>
          <w:ilvl w:val="0"/>
          <w:numId w:val="0"/>
        </w:numPr>
        <w:kinsoku/>
        <w:wordWrap/>
        <w:overflowPunct/>
        <w:topLinePunct w:val="0"/>
        <w:bidi w:val="0"/>
        <w:spacing w:line="360" w:lineRule="auto"/>
        <w:ind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.维修服务：一般问题应在</w:t>
      </w:r>
      <w:r>
        <w:rPr>
          <w:rFonts w:hint="eastAsia" w:ascii="宋体" w:hAnsi="宋体" w:eastAsia="宋体" w:cs="宋体"/>
          <w:color w:val="auto"/>
          <w:sz w:val="21"/>
          <w:szCs w:val="21"/>
          <w:highlight w:val="none"/>
          <w:lang w:eastAsia="zh-CN"/>
        </w:rPr>
        <w:t>12</w:t>
      </w:r>
      <w:r>
        <w:rPr>
          <w:rFonts w:hint="eastAsia" w:ascii="宋体" w:hAnsi="宋体" w:eastAsia="宋体" w:cs="宋体"/>
          <w:color w:val="auto"/>
          <w:sz w:val="21"/>
          <w:szCs w:val="21"/>
          <w:highlight w:val="none"/>
        </w:rPr>
        <w:t>小时内、重大问题应在</w:t>
      </w:r>
      <w:r>
        <w:rPr>
          <w:rFonts w:hint="eastAsia" w:ascii="宋体" w:hAnsi="宋体" w:eastAsia="宋体" w:cs="宋体"/>
          <w:color w:val="auto"/>
          <w:sz w:val="21"/>
          <w:szCs w:val="21"/>
          <w:highlight w:val="none"/>
          <w:lang w:eastAsia="zh-CN"/>
        </w:rPr>
        <w:t>24</w:t>
      </w:r>
      <w:r>
        <w:rPr>
          <w:rFonts w:hint="eastAsia" w:ascii="宋体" w:hAnsi="宋体" w:eastAsia="宋体" w:cs="宋体"/>
          <w:color w:val="auto"/>
          <w:sz w:val="21"/>
          <w:szCs w:val="21"/>
          <w:highlight w:val="none"/>
        </w:rPr>
        <w:t>小时内解决</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、验收</w:t>
      </w:r>
      <w:r>
        <w:rPr>
          <w:rFonts w:hint="eastAsia" w:ascii="宋体" w:hAnsi="宋体" w:eastAsia="宋体" w:cs="宋体"/>
          <w:b/>
          <w:color w:val="auto"/>
          <w:sz w:val="21"/>
          <w:szCs w:val="21"/>
          <w:highlight w:val="none"/>
          <w:lang w:val="en-US" w:eastAsia="zh-CN"/>
        </w:rPr>
        <w:t>要求及标准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（一）验收要求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1.供应商须提供产品设备的验收方案，该方案须符合国家相关行业标准和验收标准。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2.货物到达采购人指定现场前，应提前1天通知采购人做好准备，由采购人会同有关单位和人员根据中标供应商提供的货物设备清单，进行现场验收；</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3.中标供应商在完成项目后，若经采购人验收不合格，中标供应商承担所有责任。</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（二）验收标准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1.采购文件第三章“项目需求”中明确的标准和技术要求；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2.与合同货物有关的最新版本的中华人民共和国国家/国际标准和部颁标准；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3.中标供应商随响应文件提供货物制造国的制造及验收的官方标准或货物验收大纲，经采购方确认后，将作为对货物的验收依据之一；</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4.中标供应商在澄清响应文件时作出的承诺，经采购方确认后，将作为对货物的验收依据之一；</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5.货物性能考核指标：不得低于上述货物验收标准中的指标。具体指标签订合同时根据采购文件和响应文件确定。</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、付款方式</w:t>
      </w:r>
    </w:p>
    <w:p>
      <w:pPr>
        <w:keepNext w:val="0"/>
        <w:keepLines w:val="0"/>
        <w:pageBreakBefore w:val="0"/>
        <w:tabs>
          <w:tab w:val="left" w:pos="5325"/>
        </w:tabs>
        <w:kinsoku/>
        <w:wordWrap/>
        <w:overflowPunct/>
        <w:topLinePunct w:val="0"/>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bookmarkStart w:id="0" w:name="_GoBack"/>
      <w:r>
        <w:rPr>
          <w:rFonts w:hint="eastAsia" w:ascii="宋体" w:hAnsi="宋体" w:eastAsia="宋体" w:cs="宋体"/>
          <w:bCs/>
          <w:color w:val="auto"/>
          <w:sz w:val="21"/>
          <w:szCs w:val="21"/>
          <w:highlight w:val="none"/>
          <w:lang w:val="en-US" w:eastAsia="zh-CN"/>
        </w:rPr>
        <w:t>项目验收合格后支付合同总价的100%，款项由采购单位按相关财务支付规定办理支付手续。</w:t>
      </w:r>
    </w:p>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35A1B"/>
    <w:multiLevelType w:val="singleLevel"/>
    <w:tmpl w:val="30C35A1B"/>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A7439"/>
    <w:rsid w:val="01705C99"/>
    <w:rsid w:val="0C6558BE"/>
    <w:rsid w:val="100828AD"/>
    <w:rsid w:val="167421DE"/>
    <w:rsid w:val="187675E6"/>
    <w:rsid w:val="1946255C"/>
    <w:rsid w:val="2418219D"/>
    <w:rsid w:val="266D1322"/>
    <w:rsid w:val="2A790643"/>
    <w:rsid w:val="30FA7439"/>
    <w:rsid w:val="32047E1A"/>
    <w:rsid w:val="36BD095F"/>
    <w:rsid w:val="37FF0092"/>
    <w:rsid w:val="51937B70"/>
    <w:rsid w:val="522C70F0"/>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spacing w:after="120" w:line="240" w:lineRule="auto"/>
      <w:ind w:left="420" w:leftChars="200" w:firstLine="200" w:firstLineChars="200"/>
    </w:pPr>
    <w:rPr>
      <w:kern w:val="2"/>
      <w:sz w:val="21"/>
      <w:szCs w:val="24"/>
    </w:rPr>
  </w:style>
  <w:style w:type="paragraph" w:styleId="3">
    <w:name w:val="Body Text Indent"/>
    <w:basedOn w:val="1"/>
    <w:next w:val="4"/>
    <w:qFormat/>
    <w:uiPriority w:val="99"/>
    <w:pPr>
      <w:spacing w:after="120"/>
      <w:ind w:left="420" w:leftChars="200"/>
    </w:pPr>
    <w:rPr>
      <w:rFonts w:eastAsia="宋体"/>
      <w:kern w:val="2"/>
      <w:sz w:val="21"/>
      <w:szCs w:val="24"/>
      <w:lang w:val="en-US" w:eastAsia="zh-CN" w:bidi="ar-SA"/>
    </w:rPr>
  </w:style>
  <w:style w:type="paragraph" w:styleId="4">
    <w:name w:val="envelope return"/>
    <w:basedOn w:val="1"/>
    <w:qFormat/>
    <w:uiPriority w:val="99"/>
    <w:pPr>
      <w:snapToGrid w:val="0"/>
    </w:pPr>
    <w:rPr>
      <w:rFonts w:ascii="Arial" w:hAnsi="Arial"/>
    </w:rPr>
  </w:style>
  <w:style w:type="paragraph" w:styleId="5">
    <w:name w:val="Plain Text"/>
    <w:basedOn w:val="1"/>
    <w:next w:val="6"/>
    <w:qFormat/>
    <w:uiPriority w:val="0"/>
    <w:rPr>
      <w:rFonts w:ascii="宋体" w:hAnsi="Courier New"/>
    </w:rPr>
  </w:style>
  <w:style w:type="paragraph" w:styleId="6">
    <w:name w:val="List Number 5"/>
    <w:basedOn w:val="1"/>
    <w:uiPriority w:val="0"/>
    <w:pPr>
      <w:numPr>
        <w:ilvl w:val="0"/>
        <w:numId w:val="1"/>
      </w:numPr>
    </w:pPr>
  </w:style>
  <w:style w:type="character" w:customStyle="1" w:styleId="9">
    <w:name w:val="NormalCharacter"/>
    <w:qFormat/>
    <w:uiPriority w:val="0"/>
  </w:style>
  <w:style w:type="paragraph" w:customStyle="1" w:styleId="10">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2022-11-18T07:11:00Z</dcterms:created>
  <dc:creator>L</dc:creator>
  <cp:lastModifiedBy>L</cp:lastModifiedBy>
  <dcterms:modified xsi:type="dcterms:W3CDTF">2022-11-18T07:12:45Z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BA8B711A5C034B7ABA98FB6013B0495D</vt:lpwstr>
  </property>
</Properties>
</file>