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ascii="宋体" w:hAnsi="宋体" w:eastAsia="宋体" w:cs="宋体"/>
          <w:b/>
          <w:color w:val="auto"/>
          <w:w w:val="80"/>
          <w:kern w:val="44"/>
          <w:sz w:val="36"/>
          <w:szCs w:val="36"/>
          <w:highlight w:val="none"/>
        </w:rPr>
      </w:pPr>
      <w:bookmarkStart w:id="0" w:name="_GoBack"/>
      <w:r>
        <w:rPr>
          <w:rFonts w:hint="eastAsia" w:ascii="宋体" w:hAnsi="宋体" w:eastAsia="宋体" w:cs="宋体"/>
          <w:b/>
          <w:color w:val="auto"/>
          <w:w w:val="80"/>
          <w:kern w:val="44"/>
          <w:sz w:val="36"/>
          <w:szCs w:val="36"/>
          <w:highlight w:val="none"/>
          <w:lang w:eastAsia="zh-CN"/>
        </w:rPr>
        <w:t>南通市中心血站餐具套装采购项目</w:t>
      </w:r>
      <w:r>
        <w:rPr>
          <w:rFonts w:hint="eastAsia" w:ascii="宋体" w:hAnsi="宋体" w:eastAsia="宋体" w:cs="宋体"/>
          <w:b/>
          <w:color w:val="auto"/>
          <w:w w:val="80"/>
          <w:kern w:val="44"/>
          <w:sz w:val="36"/>
          <w:szCs w:val="36"/>
          <w:highlight w:val="none"/>
        </w:rPr>
        <w:t>需求</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材料</w:t>
            </w:r>
          </w:p>
        </w:tc>
        <w:tc>
          <w:tcPr>
            <w:tcW w:w="72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套装组合形式</w:t>
            </w:r>
          </w:p>
        </w:tc>
        <w:tc>
          <w:tcPr>
            <w:tcW w:w="72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套装组合形式</w:t>
            </w:r>
            <w:r>
              <w:rPr>
                <w:rFonts w:hint="eastAsia" w:ascii="宋体" w:hAnsi="宋体" w:eastAsia="宋体" w:cs="宋体"/>
                <w:b/>
                <w:bCs/>
                <w:i w:val="0"/>
                <w:color w:val="auto"/>
                <w:kern w:val="0"/>
                <w:sz w:val="24"/>
                <w:szCs w:val="24"/>
                <w:highlight w:val="none"/>
                <w:u w:val="single"/>
                <w:lang w:val="en-US" w:eastAsia="zh-CN" w:bidi="ar"/>
              </w:rPr>
              <w:t>至少</w:t>
            </w:r>
            <w:r>
              <w:rPr>
                <w:rFonts w:hint="eastAsia" w:ascii="宋体" w:hAnsi="宋体" w:eastAsia="宋体" w:cs="宋体"/>
                <w:i w:val="0"/>
                <w:color w:val="auto"/>
                <w:kern w:val="0"/>
                <w:sz w:val="24"/>
                <w:szCs w:val="24"/>
                <w:highlight w:val="none"/>
                <w:u w:val="none"/>
                <w:lang w:val="en-US" w:eastAsia="zh-CN" w:bidi="ar"/>
              </w:rPr>
              <w:t>包含以下内容：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1.锅（煲）类，1个,直径≥23cm;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2.鱼盘1个，长度≥31cm;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3.大盘1个，直径≥25cm；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4.浅盘4个，直径≥20.5cm；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5.深盘6个，直径≥20.5cm；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6.面碗2个，直径≥15.5cm；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7.高脚饭碗6个，直径≥11.5cm；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8.小汤勺6个；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9.大汤勺1个。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数量</w:t>
            </w:r>
          </w:p>
        </w:tc>
        <w:tc>
          <w:tcPr>
            <w:tcW w:w="7232" w:type="dxa"/>
            <w:noWrap w:val="0"/>
            <w:vAlign w:val="center"/>
          </w:tcPr>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数量暂定300套，具体以采购人通知为准，按实结算。</w:t>
            </w:r>
            <w:r>
              <w:rPr>
                <w:rFonts w:hint="eastAsia" w:ascii="宋体" w:hAnsi="宋体" w:eastAsia="宋体" w:cs="宋体"/>
                <w:color w:val="auto"/>
                <w:sz w:val="24"/>
                <w:szCs w:val="24"/>
                <w:highlight w:val="none"/>
                <w:lang w:eastAsia="zh-CN"/>
              </w:rPr>
              <w:t>供应商</w:t>
            </w:r>
            <w:r>
              <w:rPr>
                <w:rFonts w:hint="eastAsia" w:ascii="宋体" w:hAnsi="宋体" w:eastAsia="宋体" w:cs="宋体"/>
                <w:i w:val="0"/>
                <w:color w:val="auto"/>
                <w:kern w:val="0"/>
                <w:sz w:val="24"/>
                <w:szCs w:val="24"/>
                <w:highlight w:val="none"/>
                <w:u w:val="none"/>
                <w:lang w:val="en-US" w:eastAsia="zh-CN" w:bidi="ar"/>
              </w:rPr>
              <w:t>须确保所</w:t>
            </w:r>
            <w:r>
              <w:rPr>
                <w:rFonts w:hint="eastAsia" w:ascii="宋体" w:hAnsi="宋体" w:eastAsia="宋体" w:cs="宋体"/>
                <w:b w:val="0"/>
                <w:bCs w:val="0"/>
                <w:i w:val="0"/>
                <w:color w:val="auto"/>
                <w:kern w:val="0"/>
                <w:sz w:val="24"/>
                <w:szCs w:val="24"/>
                <w:highlight w:val="none"/>
                <w:u w:val="none"/>
                <w:lang w:val="en-US" w:eastAsia="zh-CN" w:bidi="ar"/>
              </w:rPr>
              <w:t>投瓷器碗礼盒至</w:t>
            </w:r>
            <w:r>
              <w:rPr>
                <w:rFonts w:hint="eastAsia" w:ascii="宋体" w:hAnsi="宋体" w:eastAsia="宋体" w:cs="宋体"/>
                <w:i w:val="0"/>
                <w:color w:val="auto"/>
                <w:kern w:val="0"/>
                <w:sz w:val="24"/>
                <w:szCs w:val="24"/>
                <w:highlight w:val="none"/>
                <w:u w:val="none"/>
                <w:lang w:val="en-US" w:eastAsia="zh-CN" w:bidi="ar"/>
              </w:rPr>
              <w:t>少有300套的供货量。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包装</w:t>
            </w:r>
          </w:p>
        </w:tc>
        <w:tc>
          <w:tcPr>
            <w:tcW w:w="7232" w:type="dxa"/>
            <w:noWrap w:val="0"/>
            <w:vAlign w:val="center"/>
          </w:tcPr>
          <w:p>
            <w:pPr>
              <w:pStyle w:val="2"/>
              <w:keepNext w:val="0"/>
              <w:keepLines w:val="0"/>
              <w:suppressLineNumbers w:val="0"/>
              <w:spacing w:before="0" w:beforeAutospacing="0" w:after="0" w:afterAutospacing="0"/>
              <w:ind w:left="0" w:leftChars="0" w:right="0" w:rightChars="0" w:firstLine="0" w:firstLineChars="0"/>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防震礼盒包装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pStyle w:val="2"/>
              <w:keepNext w:val="0"/>
              <w:keepLines w:val="0"/>
              <w:suppressLineNumbers w:val="0"/>
              <w:spacing w:before="0" w:beforeAutospacing="0" w:after="0" w:afterAutospacing="0"/>
              <w:ind w:left="0" w:leftChars="0" w:right="0" w:rightChars="0" w:firstLine="0" w:firstLineChars="0"/>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其他要求</w:t>
            </w:r>
          </w:p>
        </w:tc>
        <w:tc>
          <w:tcPr>
            <w:tcW w:w="7232" w:type="dxa"/>
            <w:noWrap w:val="0"/>
            <w:vAlign w:val="center"/>
          </w:tcPr>
          <w:p>
            <w:pPr>
              <w:pStyle w:val="2"/>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1.适用微波炉、洗碗机；</w:t>
            </w:r>
          </w:p>
          <w:p>
            <w:pPr>
              <w:pStyle w:val="2"/>
              <w:keepNext w:val="0"/>
              <w:keepLines w:val="0"/>
              <w:suppressLineNumbers w:val="0"/>
              <w:spacing w:before="0" w:beforeAutospacing="0" w:after="0" w:afterAutospacing="0"/>
              <w:ind w:left="0" w:leftChars="0" w:right="0" w:rightChars="0" w:firstLine="0" w:firstLineChars="0"/>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2.无重金属物质。</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、质量保证</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应保证货物是全新、未使用过的原厂合格</w:t>
      </w:r>
      <w:r>
        <w:rPr>
          <w:rFonts w:hint="eastAsia" w:ascii="宋体" w:hAnsi="宋体" w:eastAsia="宋体" w:cs="宋体"/>
          <w:color w:val="auto"/>
          <w:sz w:val="24"/>
          <w:szCs w:val="24"/>
          <w:highlight w:val="none"/>
          <w:lang w:val="en-US" w:eastAsia="zh-CN"/>
        </w:rPr>
        <w:t>正品</w:t>
      </w:r>
      <w:r>
        <w:rPr>
          <w:rFonts w:hint="eastAsia" w:ascii="宋体" w:hAnsi="宋体" w:eastAsia="宋体" w:cs="宋体"/>
          <w:color w:val="auto"/>
          <w:sz w:val="24"/>
          <w:szCs w:val="24"/>
          <w:highlight w:val="none"/>
        </w:rPr>
        <w:t>，并完全符合</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及本合同规定的质量、规格和参数的要求。验收过程中发现不符合要求的，将视作不合格产品，</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有权终止合同，造成的一切损失由供应商承担。</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2.参与比选</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的技术标准按国家标准执行，无国家标准的，按行业标准执行，无国家和行业标准的，按企业标准执行；但在</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中有特别要求的，按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中规定的要求执行，并且符合相关法律、法规规定的要求。</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应保证提供的产品不得侵犯第三方专利权、商标权和设计权、版权等。否则，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应负全部责任，并承担由此引起的一切后果。</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应采取必要的安全措施保证货物的运输及安装的安全，并承担货物的运输及安装过程中产生的风险。</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必须保证所提供的产品符合国家相应质量要求，所有产品必须具备市级及以上质量技术监督机构出具的合格证书，并随货同行。</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6.因产品质量导致的人身伤害及财产伤害均由中选供应商承担。</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、包装</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必须为原包装，在送交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验收前不得拆箱。</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所出售的全部货物均应按标准保护措施进行包装，这类包装应适应于远距离运输、防潮、防震、防锈和防野蛮装卸等要求，以确保货物安全无损地运抵指定现场。</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每一个包装箱内应附有出厂标准配置的有关技术、质量、三包等资料。</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、验收要求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制定产品</w:t>
      </w:r>
      <w:r>
        <w:rPr>
          <w:rFonts w:hint="eastAsia" w:ascii="宋体" w:hAnsi="宋体" w:eastAsia="宋体" w:cs="宋体"/>
          <w:color w:val="auto"/>
          <w:sz w:val="24"/>
          <w:szCs w:val="24"/>
          <w:highlight w:val="none"/>
        </w:rPr>
        <w:t>验收方案，该方案须符合国家相关行业标准和验收标准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货物到达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指定现场前，应提前3天通知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做好准备，由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会同有关单位和人员根据</w:t>
      </w:r>
      <w:r>
        <w:rPr>
          <w:rFonts w:hint="eastAsia" w:ascii="宋体" w:hAnsi="宋体" w:eastAsia="宋体" w:cs="宋体"/>
          <w:color w:val="auto"/>
          <w:sz w:val="24"/>
          <w:szCs w:val="24"/>
          <w:highlight w:val="none"/>
          <w:lang w:val="en-US" w:eastAsia="zh-CN"/>
        </w:rPr>
        <w:t>中选供应商</w:t>
      </w:r>
      <w:r>
        <w:rPr>
          <w:rFonts w:hint="eastAsia" w:ascii="宋体" w:hAnsi="宋体" w:eastAsia="宋体" w:cs="宋体"/>
          <w:color w:val="auto"/>
          <w:sz w:val="24"/>
          <w:szCs w:val="24"/>
          <w:highlight w:val="none"/>
        </w:rPr>
        <w:t>提供的货物设备清单，进行现场验收；</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中选供应商</w:t>
      </w:r>
      <w:r>
        <w:rPr>
          <w:rFonts w:hint="eastAsia" w:ascii="宋体" w:hAnsi="宋体" w:eastAsia="宋体" w:cs="宋体"/>
          <w:color w:val="auto"/>
          <w:sz w:val="24"/>
          <w:szCs w:val="24"/>
          <w:highlight w:val="none"/>
        </w:rPr>
        <w:t>在完成项目后，若经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验收不合格，</w:t>
      </w:r>
      <w:r>
        <w:rPr>
          <w:rFonts w:hint="eastAsia" w:ascii="宋体" w:hAnsi="宋体" w:eastAsia="宋体" w:cs="宋体"/>
          <w:color w:val="auto"/>
          <w:sz w:val="24"/>
          <w:szCs w:val="24"/>
          <w:highlight w:val="none"/>
          <w:lang w:eastAsia="zh-CN"/>
        </w:rPr>
        <w:t>中选供应商</w:t>
      </w:r>
      <w:r>
        <w:rPr>
          <w:rFonts w:hint="eastAsia" w:ascii="宋体" w:hAnsi="宋体" w:eastAsia="宋体" w:cs="宋体"/>
          <w:color w:val="auto"/>
          <w:sz w:val="24"/>
          <w:szCs w:val="24"/>
          <w:highlight w:val="none"/>
        </w:rPr>
        <w:t>承担所有责任。</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五、质保期：</w:t>
      </w:r>
      <w:r>
        <w:rPr>
          <w:rFonts w:hint="eastAsia" w:ascii="宋体" w:hAnsi="宋体" w:eastAsia="宋体" w:cs="宋体"/>
          <w:color w:val="auto"/>
          <w:sz w:val="24"/>
          <w:szCs w:val="24"/>
          <w:highlight w:val="none"/>
          <w:lang w:val="en-US" w:eastAsia="zh-CN"/>
        </w:rPr>
        <w:t>质保期至少六个月。在采购人向献血者发放前发现的产品破损，均由中选供应商免费更换。</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pPr>
        <w:keepNext w:val="0"/>
        <w:keepLines w:val="0"/>
        <w:pageBreakBefore w:val="0"/>
        <w:widowControl w:val="0"/>
        <w:kinsoku/>
        <w:wordWrap/>
        <w:overflowPunct/>
        <w:topLinePunct w:val="0"/>
        <w:autoSpaceDE/>
        <w:autoSpaceDN/>
        <w:bidi w:val="0"/>
        <w:adjustRightInd/>
        <w:snapToGrid w:val="0"/>
        <w:spacing w:line="520" w:lineRule="exact"/>
        <w:ind w:firstLine="494" w:firstLineChars="206"/>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所有货物送货到采购人指定地点并验收合格后采购人支付合同总价的90%，余合同总价的10%验收合格满三个月后支付。</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七、供货期</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合同签订后10个日历天内供货到采购人指定地点。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kern w:val="0"/>
          <w:sz w:val="24"/>
          <w:szCs w:val="24"/>
          <w:highlight w:val="none"/>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8767D"/>
    <w:rsid w:val="43B8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uiPriority w:val="99"/>
    <w:pPr>
      <w:snapToGrid w:val="0"/>
    </w:pPr>
    <w:rPr>
      <w:rFonts w:ascii="Arial" w:hAnsi="Arial"/>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2022-08-08T03:26:00Z</dcterms:created>
  <dc:creator>正扬</dc:creator>
  <cp:lastModifiedBy>正扬</cp:lastModifiedBy>
  <dcterms:modified xsi:type="dcterms:W3CDTF">2022-08-08T03:26:52Z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131BB1C44E45462D90CF2D8909D06519</vt:lpwstr>
  </property>
</Properties>
</file>