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10"/>
          <w:rFonts w:hint="eastAsia" w:ascii="宋体" w:hAnsi="宋体" w:eastAsia="宋体" w:cs="宋体"/>
          <w:b/>
          <w:color w:val="auto"/>
          <w:w w:val="80"/>
          <w:kern w:val="44"/>
          <w:sz w:val="36"/>
          <w:szCs w:val="36"/>
          <w:highlight w:val="none"/>
        </w:rPr>
      </w:pPr>
      <w:bookmarkStart w:id="2" w:name="_GoBack"/>
      <w:r>
        <w:rPr>
          <w:rStyle w:val="10"/>
          <w:rFonts w:hint="eastAsia" w:ascii="宋体" w:hAnsi="宋体" w:eastAsia="宋体" w:cs="宋体"/>
          <w:b/>
          <w:color w:val="auto"/>
          <w:w w:val="80"/>
          <w:kern w:val="44"/>
          <w:sz w:val="36"/>
          <w:szCs w:val="36"/>
          <w:highlight w:val="none"/>
          <w:u w:val="none" w:color="auto"/>
          <w:lang w:eastAsia="zh-CN"/>
        </w:rPr>
        <w:t>南通市中心血站医废项目</w:t>
      </w:r>
      <w:r>
        <w:rPr>
          <w:rStyle w:val="10"/>
          <w:rFonts w:hint="eastAsia" w:ascii="宋体" w:hAnsi="宋体" w:eastAsia="宋体" w:cs="宋体"/>
          <w:b/>
          <w:color w:val="auto"/>
          <w:w w:val="80"/>
          <w:kern w:val="44"/>
          <w:sz w:val="36"/>
          <w:szCs w:val="36"/>
          <w:highlight w:val="none"/>
        </w:rPr>
        <w:t>需求</w:t>
      </w:r>
    </w:p>
    <w:bookmarkEnd w:id="2"/>
    <w:p>
      <w:pPr>
        <w:pStyle w:val="3"/>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项目概述</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通市中心血站针对医废危害的背景的现状下，对医疗废物的产生、收集、运输、储存、处理至最终处置进行全过程管理，要建立相应的数据库管理信息系统，这也是医疗废物无害化管理的必然手段。因而根据南通市中心血站目前关于医疗废物运送处理的运作模式，针对南通市中心血站进行医疗废物运送系统的设计，供南通市中心血站针对医疗废物运送进行有效管理</w:t>
      </w:r>
      <w:r>
        <w:rPr>
          <w:rFonts w:hint="eastAsia" w:ascii="宋体" w:hAnsi="宋体" w:eastAsia="宋体" w:cs="宋体"/>
          <w:color w:val="auto"/>
          <w:kern w:val="0"/>
          <w:sz w:val="24"/>
          <w:szCs w:val="24"/>
          <w:highlight w:val="none"/>
        </w:rPr>
        <w:t>。</w:t>
      </w:r>
    </w:p>
    <w:p>
      <w:pPr>
        <w:pStyle w:val="3"/>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建设原则及内容</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（一）建设原则</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可行性和适应性</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本项目要保证技术上的可行性，适合的实际需求，满足主要业务要求，并要有对于南通市中心血站环境变化的适应性。</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前瞻性和实用性</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项目的实施，要充分考虑系统今后的延伸。与此同时，系统实施过程应始终贯彻面向应用，注重实效的方针。</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先进性和成熟性</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项目采用目前比较广泛的符合南通市中心血站实际的医疗废物运送处理方案，包括医疗废物的分类收集，交接、转运、做箱袋关联、入暂存地、出暂存地、数据传输、溯源管理的业务运转流程和查询。</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开放性和标准性</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系统必须充分考虑其开放性和标准性。也就是要考虑到各系统间数据传递和省、市、县（区）接口开发的可实现性。满足统一平台、分步实施的原则。</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建设内容</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本项目平台应用层采用云端部署的方式，便于用户在移动端访问平台数据。</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平台具备足够的开放性和兼容性，在未来系统需要进一步扩展时，向上可以对接其他第三方信息化管理系统，输出特定格式参数文件；采集其关键性参数，纳入医废系统的统一管理。 </w:t>
      </w:r>
    </w:p>
    <w:p>
      <w:pPr>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double"/>
        </w:rPr>
        <w:t>投标方需提供与南通市卫健委医废系统无缝对接承诺书，保障系统整体框架的扩展性与适用性</w:t>
      </w:r>
      <w:r>
        <w:rPr>
          <w:rFonts w:hint="eastAsia" w:ascii="宋体" w:hAnsi="宋体" w:eastAsia="宋体" w:cs="宋体"/>
          <w:color w:val="auto"/>
          <w:sz w:val="24"/>
          <w:szCs w:val="24"/>
          <w:highlight w:val="none"/>
        </w:rPr>
        <w:t>。</w:t>
      </w:r>
    </w:p>
    <w:p>
      <w:pPr>
        <w:pStyle w:val="3"/>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建设方案</w:t>
      </w:r>
    </w:p>
    <w:p>
      <w:pPr>
        <w:pStyle w:val="4"/>
        <w:ind w:firstLine="643"/>
        <w:rPr>
          <w:rFonts w:hint="eastAsia" w:ascii="宋体" w:hAnsi="宋体" w:eastAsia="宋体" w:cs="宋体"/>
          <w:color w:val="auto"/>
          <w:sz w:val="28"/>
          <w:szCs w:val="28"/>
          <w:highlight w:val="none"/>
        </w:rPr>
      </w:pPr>
      <w:bookmarkStart w:id="0" w:name="_Toc20082"/>
      <w:r>
        <w:rPr>
          <w:rFonts w:hint="eastAsia" w:ascii="宋体" w:hAnsi="宋体" w:eastAsia="宋体" w:cs="宋体"/>
          <w:color w:val="auto"/>
          <w:sz w:val="28"/>
          <w:szCs w:val="28"/>
          <w:highlight w:val="none"/>
        </w:rPr>
        <w:t>系统基础框架</w:t>
      </w:r>
      <w:bookmarkEnd w:id="0"/>
    </w:p>
    <w:p>
      <w:pPr>
        <w:ind w:firstLine="48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系统基础框架管理主要包括基础框架管理、应用程序管理、应用功能的授权管理、主数据管理中心。</w:t>
      </w:r>
    </w:p>
    <w:p>
      <w:pPr>
        <w:ind w:firstLine="0"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基础框架管理</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基础框架管理是整个信息系统应用集成平台的前台运作核心，承载系统的各种前台控件，同时为系统间信息交换中枢。</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具有记录维护系统的整个运行信息，更新运行目录，客户机的机器名，IP地址，登录系统的用户名和ID等一系列全局信息。</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提供应用系统公用代码的集值维护管理功能，能够实现用户自我维护数据字典数据。</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提供系统业务模块使用的周期策略的自定义维护功能。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提供系统运行参数的前台可配置功能。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提供系统中业务模块附件的存储路径的前台可配置功能。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★提供系统APP二维码LOGO图片的前台可配置功能。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提供医院名称和系统名称的前台可配置功能。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为应用系统提供代码的正确性校验功能。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对应用系统出错履历进行管理。</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★提供二维码的在线生成功能。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提供系统运行错误数据的前台删除功能。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提供相关业务数据的导出功能。</w:t>
      </w:r>
    </w:p>
    <w:p>
      <w:pPr>
        <w:ind w:firstLine="0"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应用程序管理</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对应用程序信息进行登记管理，提供前台的登记画面对这方面的信息进行维护管理功能。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提供为应用程序编译的程序。对程序从测试环境提交到运行环境进行管理，记录提交的信息，并对提交的程序进行备份功能。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提供APP程序的前台发布功能，方便程序发布。</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提供系统定时任务的运行周期及启停的前台维护功能。</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提供业务工作流的灵活配置功能，方便根据医院的实际情况定制合适的工作流程。</w:t>
      </w:r>
    </w:p>
    <w:p>
      <w:pPr>
        <w:tabs>
          <w:tab w:val="left" w:pos="705"/>
        </w:tabs>
        <w:ind w:firstLine="240" w:firstLineChars="10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应用权限管理</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提供用户信息的维护管理，统一对用户的基本信息、用户密码进行管理。</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提供用户分组管理，确定其角色代码和名称。</w:t>
      </w:r>
    </w:p>
    <w:p>
      <w:pPr>
        <w:numPr>
          <w:ilvl w:val="0"/>
          <w:numId w:val="4"/>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提供按角色组授权的功能，方便批量权限的维护。</w:t>
      </w:r>
    </w:p>
    <w:p>
      <w:pPr>
        <w:pStyle w:val="4"/>
        <w:ind w:firstLine="643"/>
        <w:rPr>
          <w:rFonts w:hint="eastAsia" w:ascii="宋体" w:hAnsi="宋体" w:eastAsia="宋体" w:cs="宋体"/>
          <w:color w:val="auto"/>
          <w:sz w:val="28"/>
          <w:szCs w:val="28"/>
          <w:highlight w:val="none"/>
        </w:rPr>
      </w:pPr>
      <w:bookmarkStart w:id="1" w:name="_Toc6501"/>
      <w:r>
        <w:rPr>
          <w:rFonts w:hint="eastAsia" w:ascii="宋体" w:hAnsi="宋体" w:eastAsia="宋体" w:cs="宋体"/>
          <w:color w:val="auto"/>
          <w:sz w:val="28"/>
          <w:szCs w:val="28"/>
          <w:highlight w:val="none"/>
        </w:rPr>
        <w:t>医废追溯监管</w:t>
      </w:r>
      <w:bookmarkEnd w:id="1"/>
    </w:p>
    <w:p>
      <w:pPr>
        <w:ind w:firstLine="48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实现对医疗废物的产生、收集、运输、储存、处理至最终处置进行全过程管理，建立相应的数据库管理信息系统。符合《江苏省医疗废物管理（监管）系统，基本功能规范》（苏卫医政2019）38号文件要求</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系统可生成每次订购的扎带编码信息，维护扎带数量及批次</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系统可修改扎带的编码的生成规则；可以通过配置动态实现是否需要进行箱袋关联。具备医废车设备的录入功能</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医务人员在医疗废物产生科室按五大医疗废物类别(感染性废物、损伤性废物、病理性废物、化学性废物、药物性废物)进行分类</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医疗废物小车支持现场称重，自动读取重量，并打印相关标贴，现场扫码交接</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★具备医疗废物的基本信息打印标贴功能，包括医疗废物类别，重量、时间，所属科室等基本信息</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各科室用户可以查看到自己科室的医废信息</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提供医废管理人员或院领导查看医院各科室的所有医疗废物信息，可利用多维度查询条件查询各种医废信息</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箱袋关联出库，对医废箱进行管理</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★当模式中存在二次称重时，如果两次称重差值过大，会形成重量预警</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具备当医疗废物交接或入库时发生医疗废物丢失的情况，系统提供报警功能</w:t>
      </w:r>
    </w:p>
    <w:p>
      <w:pPr>
        <w:numPr>
          <w:ilvl w:val="0"/>
          <w:numId w:val="5"/>
        </w:numPr>
        <w:ind w:firstLineChars="0"/>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具备医疗废物出库清单签字确认后，在APP上传图片保存功能</w:t>
      </w:r>
    </w:p>
    <w:p>
      <w:pPr>
        <w:pStyle w:val="6"/>
        <w:pageBreakBefore w:val="0"/>
        <w:numPr>
          <w:ilvl w:val="0"/>
          <w:numId w:val="6"/>
        </w:numPr>
        <w:kinsoku/>
        <w:wordWrap/>
        <w:overflowPunct/>
        <w:topLinePunct w:val="0"/>
        <w:autoSpaceDE/>
        <w:autoSpaceDN/>
        <w:bidi w:val="0"/>
        <w:adjustRightInd w:val="0"/>
        <w:snapToGrid w:val="0"/>
        <w:spacing w:after="0" w:line="360" w:lineRule="auto"/>
        <w:ind w:firstLineChars="0"/>
        <w:rPr>
          <w:rFonts w:hint="eastAsia" w:ascii="宋体" w:hAnsi="宋体" w:eastAsia="宋体" w:cs="宋体"/>
          <w:bCs/>
          <w:color w:val="auto"/>
          <w:sz w:val="22"/>
          <w:szCs w:val="22"/>
          <w:highlight w:val="none"/>
        </w:rPr>
      </w:pPr>
      <w:r>
        <w:rPr>
          <w:rFonts w:hint="eastAsia" w:ascii="宋体" w:hAnsi="宋体" w:eastAsia="宋体" w:cs="宋体"/>
          <w:color w:val="auto"/>
          <w:sz w:val="24"/>
          <w:szCs w:val="18"/>
          <w:highlight w:val="none"/>
        </w:rPr>
        <w:t>报表：医废库存存量报表、医废收集汇总报表、医废收集明细报表、医废入库汇总报表、医废入库明细报表、医废出库汇总报表、医废出库明细报表</w:t>
      </w:r>
    </w:p>
    <w:p>
      <w:pPr>
        <w:pStyle w:val="5"/>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四、硬件参数和清单</w:t>
      </w:r>
    </w:p>
    <w:tbl>
      <w:tblPr>
        <w:tblStyle w:val="8"/>
        <w:tblW w:w="8769"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99"/>
        <w:gridCol w:w="4628"/>
        <w:gridCol w:w="656"/>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shd w:val="clear" w:color="000000" w:fill="E6E6E6"/>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99" w:type="dxa"/>
            <w:shd w:val="clear" w:color="000000" w:fill="E6E6E6"/>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4628" w:type="dxa"/>
            <w:shd w:val="clear" w:color="000000" w:fill="E6E6E6"/>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型号、规格参数</w:t>
            </w:r>
          </w:p>
        </w:tc>
        <w:tc>
          <w:tcPr>
            <w:tcW w:w="656" w:type="dxa"/>
            <w:shd w:val="clear" w:color="000000" w:fill="E6E6E6"/>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81" w:type="dxa"/>
            <w:shd w:val="clear" w:color="000000" w:fill="E6E6E6"/>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4G物联卡</w:t>
            </w:r>
          </w:p>
        </w:tc>
        <w:tc>
          <w:tcPr>
            <w:tcW w:w="4628" w:type="dxa"/>
            <w:vAlign w:val="center"/>
          </w:tcPr>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型号：移动运营商</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规格：2G</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医废收集车</w:t>
            </w:r>
          </w:p>
        </w:tc>
        <w:tc>
          <w:tcPr>
            <w:tcW w:w="4628" w:type="dxa"/>
            <w:vAlign w:val="center"/>
          </w:tcPr>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1.标准版：长宽高1480mm*750mm*1230mm                                           2载重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600KG                                                             3.容积</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1200mm*750mm*100mm 900L   </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4.车身304不锈钢，厚度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10mm</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5.额定电压：36V</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6.电池容量42V15A                                                                                                            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轮子6寸                                                                 8.箱体材料为全不锈钢304板，厚度为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0.1mm，主撑为不锈钢框架，手推式万向轮，整体颜色为黄色烤漆，侧两面有医废标识和公司logo2.医疗废物转运车厢体顶部有双开箱盖（可锁死），底部有排泄口（可供液体流出）3.医疗废物转运车外装抽屉式蓝牙电子秤。                       </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工控屏尺寸 10.1寸 LCD  1280*800分辨率；                                     电子秤称重范围 0.01-200Kg ；</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整车最大载重 ≤300Kg ；</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待机时间24小时；</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扫码枪速度 200次每分；</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热敏打印机分辨率 203dpi；</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 50mm/s；</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打印尺寸：50*80mm   </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出库手持机</w:t>
            </w:r>
          </w:p>
        </w:tc>
        <w:tc>
          <w:tcPr>
            <w:tcW w:w="4628" w:type="dxa"/>
            <w:vAlign w:val="center"/>
          </w:tcPr>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1.CPU：Cortex-A53八核1.5GHz</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2.操作系统：Android5.1</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3.RAM：2GB  ROM：16GB</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4.SIM接口：Micro SIM卡*2（双卡双待，主板支持4G）</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5.用户存储扩展：Micro SD Card，最大兼容32GB</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6.接口/通信：防水Type C USB接口；支持USB2.0  HighSpeed；支持OTG</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7.显示屏：5.2英寸 IPS显示屏，电容式触摸，支持戴手套/带水触摸  分辨率：1920*1080</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8.半可拆卸3.8V 4500mAh锂离子充电电池，底部Type C USB接口，支持快速充电</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9.续航能力：持续工作：大于12小时</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10.尺寸：152(H)*75.9(W)*12.8(T)</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热敏贴纸</w:t>
            </w:r>
          </w:p>
        </w:tc>
        <w:tc>
          <w:tcPr>
            <w:tcW w:w="4628" w:type="dxa"/>
            <w:vAlign w:val="center"/>
          </w:tcPr>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有二维码</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规格：77*45</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181" w:type="dxa"/>
            <w:vAlign w:val="center"/>
          </w:tcPr>
          <w:p>
            <w:pPr>
              <w:tabs>
                <w:tab w:val="left" w:pos="246"/>
              </w:tabs>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医疗废弃物扎带</w:t>
            </w:r>
          </w:p>
        </w:tc>
        <w:tc>
          <w:tcPr>
            <w:tcW w:w="4628" w:type="dxa"/>
            <w:vAlign w:val="center"/>
          </w:tcPr>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有二维码</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型号：长335宽22</w:t>
            </w:r>
          </w:p>
          <w:p>
            <w:pPr>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白色或黄色</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99"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地磅秤</w:t>
            </w:r>
          </w:p>
        </w:tc>
        <w:tc>
          <w:tcPr>
            <w:tcW w:w="4628" w:type="dxa"/>
            <w:vAlign w:val="center"/>
          </w:tcPr>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双引坡0.6x0.8</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0.8x0.8榜体</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4路keli  250kg传感器</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满量程500kg0.1kg精度</w:t>
            </w:r>
          </w:p>
          <w:p>
            <w:pPr>
              <w:widowControl/>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b6es-l蓝牙仪表</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805"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99" w:type="dxa"/>
            <w:vAlign w:val="center"/>
          </w:tcPr>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医疗废弃物台式电脑</w:t>
            </w:r>
          </w:p>
        </w:tc>
        <w:tc>
          <w:tcPr>
            <w:tcW w:w="4628" w:type="dxa"/>
            <w:vAlign w:val="center"/>
          </w:tcPr>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CPU：I7处理器</w:t>
            </w:r>
          </w:p>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16G内存</w:t>
            </w:r>
          </w:p>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硬盘：256GSSD+1TBsata</w:t>
            </w:r>
          </w:p>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4G独立显卡（VGA、HDMI)</w:t>
            </w:r>
          </w:p>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Win10专业版系统</w:t>
            </w:r>
          </w:p>
          <w:p>
            <w:pPr>
              <w:widowControl/>
              <w:numPr>
                <w:ilvl w:val="0"/>
                <w:numId w:val="7"/>
              </w:numPr>
              <w:ind w:left="260" w:leftChars="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智能键盘+鼠标</w:t>
            </w:r>
          </w:p>
        </w:tc>
        <w:tc>
          <w:tcPr>
            <w:tcW w:w="656"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1181" w:type="dxa"/>
            <w:vAlign w:val="center"/>
          </w:tcPr>
          <w:p>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pPr>
        <w:pStyle w:val="7"/>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p>
    <w:p>
      <w:pPr>
        <w:pStyle w:val="3"/>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五、售后服务</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⒈投标单位需保障医院软件系统运行的稳定性，提供从系统验收合格之日起一年的免费质保服务。及时排除故障，确保系统在最优化的状态下正常运行，并提供质保期内免费提供软件版本升级</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⒉医院发现软件质量或性能与合同要求不符时，投标单位在收到通知后在医院规定期限内修改和完善。</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w:t>
      </w:r>
      <w:r>
        <w:rPr>
          <w:rFonts w:hint="eastAsia" w:ascii="宋体" w:hAnsi="宋体" w:eastAsia="宋体" w:cs="宋体"/>
          <w:color w:val="auto"/>
          <w:sz w:val="24"/>
          <w:szCs w:val="24"/>
          <w:highlight w:val="none"/>
          <w:lang w:val="zh-CN"/>
        </w:rPr>
        <w:t>向</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rPr>
        <w:t>提供良好的技术支持，并提供全天候的热线技术支持服务，</w:t>
      </w:r>
      <w:r>
        <w:rPr>
          <w:rFonts w:hint="eastAsia" w:ascii="宋体" w:hAnsi="宋体" w:eastAsia="宋体" w:cs="宋体"/>
          <w:color w:val="auto"/>
          <w:sz w:val="24"/>
          <w:szCs w:val="24"/>
          <w:highlight w:val="none"/>
        </w:rPr>
        <w:t>提供高效的本地化服务，当系统出现故障后应可以在10分钟内提供远程技术支持，故障严重或医院要求的情况下8小时内到达现场解决问题，并在24小时内完成故障处理工作，若无法完成处理，给出处理解决方案和备用计划。</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4.负责系统管理员及工作人员的培训。</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5.如在使用过程中发现由于软件错误导致的故障，投标单位需无偿修改。</w:t>
      </w:r>
    </w:p>
    <w:p>
      <w:pPr>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6.对使用人员进行详细的产品功能、特点、操作程序、简单保养、简单故障排除的讲解、培训和演示。</w:t>
      </w:r>
    </w:p>
    <w:p>
      <w:pPr>
        <w:ind w:firstLine="48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7.投标单位需设有专人定期进行电话回访，了解用户使用情况。</w:t>
      </w:r>
    </w:p>
    <w:p>
      <w:pPr>
        <w:pStyle w:val="4"/>
        <w:pageBreakBefore w:val="0"/>
        <w:numPr>
          <w:ilvl w:val="0"/>
          <w:numId w:val="0"/>
        </w:numPr>
        <w:kinsoku/>
        <w:wordWrap/>
        <w:overflowPunct/>
        <w:topLinePunct w:val="0"/>
        <w:autoSpaceDE/>
        <w:autoSpaceDN/>
        <w:bidi w:val="0"/>
        <w:spacing w:line="360" w:lineRule="auto"/>
        <w:ind w:left="63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付款方式：</w:t>
      </w:r>
    </w:p>
    <w:p>
      <w:pPr>
        <w:pageBreakBefore w:val="0"/>
        <w:numPr>
          <w:ilvl w:val="0"/>
          <w:numId w:val="0"/>
        </w:numPr>
        <w:kinsoku/>
        <w:wordWrap/>
        <w:overflowPunct/>
        <w:topLinePunct w:val="0"/>
        <w:autoSpaceDE/>
        <w:autoSpaceDN/>
        <w:bidi w:val="0"/>
        <w:spacing w:after="0" w:line="360" w:lineRule="auto"/>
        <w:ind w:firstLine="480" w:firstLineChars="200"/>
        <w:rPr>
          <w:rFonts w:hint="eastAsia" w:ascii="宋体" w:hAnsi="宋体" w:eastAsia="宋体" w:cs="宋体"/>
          <w:color w:val="auto"/>
          <w:sz w:val="24"/>
          <w:szCs w:val="24"/>
          <w:highlight w:val="none"/>
          <w:lang w:eastAsia="zh-CN"/>
        </w:rPr>
      </w:pPr>
      <w:r>
        <w:rPr>
          <w:rStyle w:val="10"/>
          <w:rFonts w:hint="eastAsia" w:ascii="宋体" w:hAnsi="宋体" w:eastAsia="宋体" w:cs="宋体"/>
          <w:color w:val="auto"/>
          <w:kern w:val="0"/>
          <w:sz w:val="24"/>
          <w:szCs w:val="24"/>
          <w:highlight w:val="none"/>
          <w:lang w:val="en-US" w:eastAsia="zh-CN"/>
        </w:rPr>
        <w:t>系统开发完成，</w:t>
      </w:r>
      <w:r>
        <w:rPr>
          <w:rFonts w:hint="eastAsia" w:ascii="宋体" w:hAnsi="宋体" w:eastAsia="宋体" w:cs="宋体"/>
          <w:color w:val="auto"/>
          <w:sz w:val="24"/>
          <w:szCs w:val="24"/>
          <w:highlight w:val="none"/>
        </w:rPr>
        <w:t>验收合格后支付合同总价的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余款验收合格满一年</w:t>
      </w:r>
      <w:r>
        <w:rPr>
          <w:rFonts w:hint="eastAsia" w:ascii="宋体" w:hAnsi="宋体" w:eastAsia="宋体" w:cs="宋体"/>
          <w:color w:val="auto"/>
          <w:sz w:val="24"/>
          <w:szCs w:val="24"/>
          <w:highlight w:val="none"/>
        </w:rPr>
        <w:t>后支付。以上付款均不计利息，每次付款前，中标供应商须提供相应金额的正规发票</w:t>
      </w:r>
      <w:r>
        <w:rPr>
          <w:rFonts w:hint="eastAsia" w:ascii="宋体" w:hAnsi="宋体" w:eastAsia="宋体" w:cs="宋体"/>
          <w:color w:val="auto"/>
          <w:sz w:val="24"/>
          <w:szCs w:val="24"/>
          <w:highlight w:val="none"/>
          <w:lang w:eastAsia="zh-CN"/>
        </w:rPr>
        <w:t>。</w:t>
      </w:r>
    </w:p>
    <w:p>
      <w:pPr>
        <w:pageBreakBefore w:val="0"/>
        <w:numPr>
          <w:ilvl w:val="0"/>
          <w:numId w:val="0"/>
        </w:numPr>
        <w:kinsoku/>
        <w:wordWrap/>
        <w:overflowPunct/>
        <w:topLinePunct w:val="0"/>
        <w:autoSpaceDE/>
        <w:autoSpaceDN/>
        <w:bidi w:val="0"/>
        <w:spacing w:after="0" w:line="360" w:lineRule="auto"/>
        <w:ind w:left="840" w:leftChars="0"/>
        <w:rPr>
          <w:rFonts w:hint="eastAsia" w:ascii="宋体" w:hAnsi="宋体" w:eastAsia="宋体" w:cs="宋体"/>
          <w:color w:val="auto"/>
          <w:sz w:val="24"/>
          <w:szCs w:val="2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
      <w:lvlText w:val=""/>
      <w:lvlJc w:val="left"/>
      <w:pPr>
        <w:tabs>
          <w:tab w:val="left" w:pos="780"/>
        </w:tabs>
        <w:ind w:left="780" w:hanging="360"/>
      </w:pPr>
      <w:rPr>
        <w:rFonts w:ascii="Wingdings" w:hAnsi="Wingdings"/>
      </w:rPr>
    </w:lvl>
  </w:abstractNum>
  <w:abstractNum w:abstractNumId="1">
    <w:nsid w:val="DD5164FE"/>
    <w:multiLevelType w:val="singleLevel"/>
    <w:tmpl w:val="DD5164FE"/>
    <w:lvl w:ilvl="0" w:tentative="0">
      <w:start w:val="1"/>
      <w:numFmt w:val="decimal"/>
      <w:lvlText w:val="%1."/>
      <w:lvlJc w:val="left"/>
      <w:pPr>
        <w:tabs>
          <w:tab w:val="left" w:pos="312"/>
        </w:tabs>
        <w:ind w:left="260"/>
      </w:pPr>
    </w:lvl>
  </w:abstractNum>
  <w:abstractNum w:abstractNumId="2">
    <w:nsid w:val="00000004"/>
    <w:multiLevelType w:val="multilevel"/>
    <w:tmpl w:val="00000004"/>
    <w:lvl w:ilvl="0" w:tentative="0">
      <w:start w:val="1"/>
      <w:numFmt w:val="bullet"/>
      <w:lvlText w:val=""/>
      <w:lvlJc w:val="left"/>
      <w:pPr>
        <w:ind w:left="1044" w:hanging="420"/>
      </w:pPr>
      <w:rPr>
        <w:rFonts w:hint="default" w:ascii="Wingdings" w:hAnsi="Wingdings"/>
      </w:rPr>
    </w:lvl>
    <w:lvl w:ilvl="1" w:tentative="0">
      <w:start w:val="1"/>
      <w:numFmt w:val="bullet"/>
      <w:lvlText w:val=""/>
      <w:lvlJc w:val="left"/>
      <w:pPr>
        <w:ind w:left="1464" w:hanging="420"/>
      </w:pPr>
      <w:rPr>
        <w:rFonts w:hint="default" w:ascii="Wingdings" w:hAnsi="Wingdings"/>
      </w:rPr>
    </w:lvl>
    <w:lvl w:ilvl="2" w:tentative="0">
      <w:start w:val="1"/>
      <w:numFmt w:val="bullet"/>
      <w:lvlText w:val=""/>
      <w:lvlJc w:val="left"/>
      <w:pPr>
        <w:ind w:left="1884" w:hanging="420"/>
      </w:pPr>
      <w:rPr>
        <w:rFonts w:hint="default" w:ascii="Wingdings" w:hAnsi="Wingdings"/>
      </w:rPr>
    </w:lvl>
    <w:lvl w:ilvl="3" w:tentative="0">
      <w:start w:val="1"/>
      <w:numFmt w:val="bullet"/>
      <w:lvlText w:val=""/>
      <w:lvlJc w:val="left"/>
      <w:pPr>
        <w:ind w:left="2304" w:hanging="420"/>
      </w:pPr>
      <w:rPr>
        <w:rFonts w:hint="default" w:ascii="Wingdings" w:hAnsi="Wingdings"/>
      </w:rPr>
    </w:lvl>
    <w:lvl w:ilvl="4" w:tentative="0">
      <w:start w:val="1"/>
      <w:numFmt w:val="bullet"/>
      <w:lvlText w:val=""/>
      <w:lvlJc w:val="left"/>
      <w:pPr>
        <w:ind w:left="2724" w:hanging="420"/>
      </w:pPr>
      <w:rPr>
        <w:rFonts w:hint="default" w:ascii="Wingdings" w:hAnsi="Wingdings"/>
      </w:rPr>
    </w:lvl>
    <w:lvl w:ilvl="5" w:tentative="0">
      <w:start w:val="1"/>
      <w:numFmt w:val="bullet"/>
      <w:lvlText w:val=""/>
      <w:lvlJc w:val="left"/>
      <w:pPr>
        <w:ind w:left="3144" w:hanging="420"/>
      </w:pPr>
      <w:rPr>
        <w:rFonts w:hint="default" w:ascii="Wingdings" w:hAnsi="Wingdings"/>
      </w:rPr>
    </w:lvl>
    <w:lvl w:ilvl="6" w:tentative="0">
      <w:start w:val="1"/>
      <w:numFmt w:val="bullet"/>
      <w:lvlText w:val=""/>
      <w:lvlJc w:val="left"/>
      <w:pPr>
        <w:ind w:left="3564" w:hanging="420"/>
      </w:pPr>
      <w:rPr>
        <w:rFonts w:hint="default" w:ascii="Wingdings" w:hAnsi="Wingdings"/>
      </w:rPr>
    </w:lvl>
    <w:lvl w:ilvl="7" w:tentative="0">
      <w:start w:val="1"/>
      <w:numFmt w:val="bullet"/>
      <w:lvlText w:val=""/>
      <w:lvlJc w:val="left"/>
      <w:pPr>
        <w:ind w:left="3984" w:hanging="420"/>
      </w:pPr>
      <w:rPr>
        <w:rFonts w:hint="default" w:ascii="Wingdings" w:hAnsi="Wingdings"/>
      </w:rPr>
    </w:lvl>
    <w:lvl w:ilvl="8" w:tentative="0">
      <w:start w:val="1"/>
      <w:numFmt w:val="bullet"/>
      <w:lvlText w:val=""/>
      <w:lvlJc w:val="left"/>
      <w:pPr>
        <w:ind w:left="4404" w:hanging="420"/>
      </w:pPr>
      <w:rPr>
        <w:rFonts w:hint="default" w:ascii="Wingdings" w:hAnsi="Wingdings"/>
      </w:rPr>
    </w:lvl>
  </w:abstractNum>
  <w:abstractNum w:abstractNumId="3">
    <w:nsid w:val="0000000F"/>
    <w:multiLevelType w:val="multilevel"/>
    <w:tmpl w:val="0000000F"/>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0"/>
    <w:multiLevelType w:val="multilevel"/>
    <w:tmpl w:val="00000010"/>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D15109"/>
    <w:multiLevelType w:val="multilevel"/>
    <w:tmpl w:val="10D151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660" w:hanging="420"/>
      </w:pPr>
      <w:rPr>
        <w:rFonts w:hint="default" w:ascii="Wingdings" w:hAnsi="Wingdings"/>
      </w:rPr>
    </w:lvl>
    <w:lvl w:ilvl="3" w:tentative="0">
      <w:start w:val="1"/>
      <w:numFmt w:val="bullet"/>
      <w:lvlText w:val=""/>
      <w:lvlJc w:val="left"/>
      <w:pPr>
        <w:ind w:left="-240" w:hanging="420"/>
      </w:pPr>
      <w:rPr>
        <w:rFonts w:hint="default" w:ascii="Wingdings" w:hAnsi="Wingdings"/>
      </w:rPr>
    </w:lvl>
    <w:lvl w:ilvl="4" w:tentative="0">
      <w:start w:val="1"/>
      <w:numFmt w:val="bullet"/>
      <w:lvlText w:val=""/>
      <w:lvlJc w:val="left"/>
      <w:pPr>
        <w:ind w:left="180" w:hanging="420"/>
      </w:pPr>
      <w:rPr>
        <w:rFonts w:hint="default" w:ascii="Wingdings" w:hAnsi="Wingdings"/>
      </w:rPr>
    </w:lvl>
    <w:lvl w:ilvl="5" w:tentative="0">
      <w:start w:val="1"/>
      <w:numFmt w:val="bullet"/>
      <w:lvlText w:val=""/>
      <w:lvlJc w:val="left"/>
      <w:pPr>
        <w:ind w:left="600" w:hanging="420"/>
      </w:pPr>
      <w:rPr>
        <w:rFonts w:hint="default" w:ascii="Wingdings" w:hAnsi="Wingdings"/>
      </w:rPr>
    </w:lvl>
    <w:lvl w:ilvl="6" w:tentative="0">
      <w:start w:val="1"/>
      <w:numFmt w:val="bullet"/>
      <w:lvlText w:val=""/>
      <w:lvlJc w:val="left"/>
      <w:pPr>
        <w:ind w:left="1020" w:hanging="420"/>
      </w:pPr>
      <w:rPr>
        <w:rFonts w:hint="default" w:ascii="Wingdings" w:hAnsi="Wingdings"/>
      </w:rPr>
    </w:lvl>
    <w:lvl w:ilvl="7" w:tentative="0">
      <w:start w:val="1"/>
      <w:numFmt w:val="bullet"/>
      <w:lvlText w:val=""/>
      <w:lvlJc w:val="left"/>
      <w:pPr>
        <w:ind w:left="1440" w:hanging="420"/>
      </w:pPr>
      <w:rPr>
        <w:rFonts w:hint="default" w:ascii="Wingdings" w:hAnsi="Wingdings"/>
      </w:rPr>
    </w:lvl>
    <w:lvl w:ilvl="8" w:tentative="0">
      <w:start w:val="1"/>
      <w:numFmt w:val="bullet"/>
      <w:lvlText w:val=""/>
      <w:lvlJc w:val="left"/>
      <w:pPr>
        <w:ind w:left="1860" w:hanging="420"/>
      </w:pPr>
      <w:rPr>
        <w:rFonts w:hint="default" w:ascii="Wingdings" w:hAnsi="Wingdings"/>
      </w:rPr>
    </w:lvl>
  </w:abstractNum>
  <w:abstractNum w:abstractNumId="6">
    <w:nsid w:val="15645FCD"/>
    <w:multiLevelType w:val="singleLevel"/>
    <w:tmpl w:val="15645FCD"/>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TcyZDk4MWRmMjhmMDgzZjg2NjljOGMyNWM0YjkifQ=="/>
  </w:docVars>
  <w:rsids>
    <w:rsidRoot w:val="405E2A01"/>
    <w:rsid w:val="405E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ListBullet2"/>
    <w:basedOn w:val="1"/>
    <w:qFormat/>
    <w:uiPriority w:val="99"/>
    <w:pPr>
      <w:numPr>
        <w:ilvl w:val="0"/>
        <w:numId w:val="3"/>
      </w:numPr>
    </w:pPr>
  </w:style>
  <w:style w:type="paragraph" w:styleId="6">
    <w:name w:val="Normal Indent"/>
    <w:basedOn w:val="1"/>
    <w:qFormat/>
    <w:uiPriority w:val="0"/>
    <w:pPr>
      <w:ind w:firstLine="200" w:firstLineChars="200"/>
    </w:pPr>
  </w:style>
  <w:style w:type="paragraph" w:styleId="7">
    <w:name w:val="Body Text"/>
    <w:basedOn w:val="1"/>
    <w:qFormat/>
    <w:uiPriority w:val="0"/>
    <w:pPr>
      <w:spacing w:after="120"/>
    </w:pPr>
  </w:style>
  <w:style w:type="character" w:customStyle="1" w:styleId="10">
    <w:name w:val="NormalCharacter"/>
    <w:qFormat/>
    <w:uiPriority w:val="0"/>
  </w:style>
  <w:style w:type="paragraph" w:customStyle="1" w:styleId="11">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2022-06-26T10:52:00Z</dcterms:created>
  <dc:creator>li</dc:creator>
  <cp:lastModifiedBy>li</cp:lastModifiedBy>
  <dcterms:modified xsi:type="dcterms:W3CDTF">2022-06-26T10:52:40Z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DEC62492108D49F79B8600BBECB799CE</vt:lpwstr>
  </property>
</Properties>
</file>