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numPr>
          <w:ilvl w:val="0"/>
          <w:numId w:val="0"/>
        </w:numPr>
        <w:adjustRightInd w:val="0"/>
        <w:snapToGrid w:val="0"/>
        <w:spacing w:before="0" w:after="0" w:line="800" w:lineRule="exact"/>
        <w:jc w:val="center"/>
        <w:textAlignment w:val="baseline"/>
        <w:rPr>
          <w:rFonts w:hint="eastAsia" w:ascii="宋体" w:hAnsi="宋体" w:eastAsia="宋体" w:cs="宋体"/>
          <w:w w:val="80"/>
          <w:szCs w:val="44"/>
          <w:highlight w:val="none"/>
        </w:rPr>
      </w:pPr>
      <w:bookmarkStart w:id="0" w:name="_GoBack"/>
      <w:r>
        <w:rPr>
          <w:rFonts w:hint="eastAsia" w:ascii="宋体" w:hAnsi="宋体" w:eastAsia="宋体" w:cs="宋体"/>
          <w:w w:val="80"/>
          <w:szCs w:val="44"/>
          <w:highlight w:val="none"/>
          <w:lang w:eastAsia="zh-CN"/>
        </w:rPr>
        <w:t>南通市中心血站生物安全柜采购</w:t>
      </w:r>
      <w:r>
        <w:rPr>
          <w:rFonts w:hint="eastAsia" w:ascii="宋体" w:hAnsi="宋体" w:eastAsia="宋体" w:cs="宋体"/>
          <w:w w:val="80"/>
          <w:szCs w:val="44"/>
          <w:highlight w:val="none"/>
        </w:rPr>
        <w:t>项目需求</w:t>
      </w:r>
    </w:p>
    <w:bookmarkEnd w:id="0"/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技术参数要求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生物安全柜，数量1台。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1.Ⅱ级生物安全柜，30%气体外排，70%气体循环；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240" w:firstLineChars="1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双人操作，工作区宽度≥1500mm；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240" w:firstLineChars="1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前窗10度倾角设计，方便操作；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240" w:firstLineChars="1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凹盘式工作台，防止液体倾洒后外溢；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240" w:firstLineChars="1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底脚不锈钢材质，高度可调，调节螺栓内置，无裸露螺纹，清洁方便，防止微生物滋生。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2.风机：应有热保护装置，可自动根据过滤器堵塞情况调节转速，保证下降气流恒定；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240" w:firstLineChars="1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风速：平均送风风速在0.25～0.50m/s，吸入口风速≥0.5m/s）；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240" w:firstLineChars="1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噪声：≤67dB。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3.电源线插头部分具有漏电保护功能，保证操作人员安全）；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240" w:firstLineChars="1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人员保护：碘化钾法测试，前窗操作口的保护因子≥1×105；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240" w:firstLineChars="1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产品保护：用YY0569标准规定方法测试，在琼脂培养皿上的枯草芽孢杆菌芽孢不超过5CFU；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240" w:firstLineChars="100"/>
        <w:jc w:val="left"/>
        <w:textAlignment w:val="auto"/>
        <w:rPr>
          <w:rFonts w:hint="default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交叉污染保护：用YY0569标准规定方法测试，在琼脂培养皿上的枯草芽孢杆菌芽孢不超过2CFU。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4.实时数字显示系统运行情况，其中下降气流流速和流入气流流速须同时显示；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240" w:firstLineChars="1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打开前窗后，紫外灯应自动关闭，风机、荧光灯自动开始运行）；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240" w:firstLineChars="1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关闭前窗后，风机和荧光灯自动关闭；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240" w:firstLineChars="1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可预约紫外灯消毒时间，在班前班后两个时段自动运行；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240" w:firstLineChars="100"/>
        <w:jc w:val="left"/>
        <w:textAlignment w:val="auto"/>
        <w:rPr>
          <w:rFonts w:hint="default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可查询紫外灯累计工作时间，以便确定更换时间。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5.主过滤器：采用超高效过滤器ULPA，工作区洁净度等级10级；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240" w:firstLineChars="1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外排过滤器：采用高效过滤器HEPA，保证排放气流的洁净度优于实验室洁净度要求；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前窗玻璃：使用光学透视清晰、清洁和消毒时不对其产生负面影响，抗冲击性强的防紫外线钢化玻璃。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6.玻璃门上沿有气幕保护，防止工作区内外气体交互；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240" w:firstLineChars="1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所有污染部位均应处于负压状态或被负压通道和负压通风系统包围。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7.负压通道专门设计异物过滤装置，防止纸屑等异物通过负压通道进入风机/过滤器影响产品正常运行。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8.用数字显示过滤器剩余使用寿命，在使用寿命剩余10%时自动提示；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240" w:firstLineChars="10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有过滤器监测功能，过滤器堵塞或破损均有声光报警提示。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9.长</w:t>
      </w:r>
      <w:r>
        <w:rPr>
          <w:rFonts w:hint="default" w:ascii="Arial" w:hAnsi="Arial" w:eastAsia="宋体" w:cs="Arial"/>
          <w:kern w:val="2"/>
          <w:sz w:val="24"/>
          <w:szCs w:val="24"/>
          <w:highlight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192cm , 宽</w:t>
      </w:r>
      <w:r>
        <w:rPr>
          <w:rFonts w:hint="default" w:ascii="Arial" w:hAnsi="Arial" w:eastAsia="宋体" w:cs="Arial"/>
          <w:kern w:val="2"/>
          <w:sz w:val="24"/>
          <w:szCs w:val="24"/>
          <w:highlight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80cm ,高</w:t>
      </w:r>
      <w:r>
        <w:rPr>
          <w:rFonts w:hint="default" w:ascii="Arial" w:hAnsi="Arial" w:eastAsia="宋体" w:cs="Arial"/>
          <w:kern w:val="2"/>
          <w:sz w:val="24"/>
          <w:szCs w:val="24"/>
          <w:highlight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200cm；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 w:firstLine="240" w:firstLineChars="100"/>
        <w:jc w:val="both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前窗玻璃手拉式开启，不得使用电控，以保证断电时能及时关门防护。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10.有开门高度警示功能，开门超高或过低均有声光报警提示；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 xml:space="preserve">   有监测气流波动功能，气流波动超过20%有声光报警提示；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 xml:space="preserve">   有关门监测功能，未关严门有声光报警提示。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11.具有符合医疗器械分类产品的医疗器械生产许可证、国家颁发的医疗器械注册证。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二、付款方式：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设备安装到指定位置验收合格后，支付合同总价款的70%；质保期满一年后，支付合同总价款的20%；全部质保期满后支付余款。以上付款均不计利息，每次付款前，成交供应商须提供相应金额的正规发票。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三、验收要求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（一）投标供应商须提供设备的验收方案，该方案须符合国家相关行业标准和验收标准。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（二）货物到达采购人指定现场前，应提前3天通知采购人做好准备，由采购人会同有关单位和人员根据成交供应商提供的货物设备清单，进行现场验收；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（三）成交供应商在完成项目后，若经采购人验收不合格，成交供应商承担所有责任。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四、供货期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所有货物须在合同签订后15日历天内送达采购人指定地点并安装调试完毕。否则按照每天合同金额百分之一支付违约金。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五、售后服务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（一）此次采购的产品质保期不低于三年，从通过项目验收之日起计。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（二）交付、验收合格使用后，按合同提供质保期内的免费保修服务。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在保修期内要求定期回访，有问题做到及时处理，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免费更换零配件；成交供应商接到采购人的报修通知后4小时内响应，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-SA"/>
        </w:rPr>
        <w:t>24小时内到达现场排除故障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，每次维修须派专业维修人员到现场。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（四）如现场不能维修解决的故障问题，须提供故障不能排除时的解决方案。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（五）质保期满后，成交供应商须承诺提供终身维修服务，保证零配件供应，维修费用按照材料成本收取，免人工费。质保期满后，如设备故障，接到用户电话后技术人员须在 2 小时内电话沟通，48小时内到现场维修。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（六）免费保修期满后，采购人亦有权自行选择维保单位。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4669FF"/>
    <w:multiLevelType w:val="singleLevel"/>
    <w:tmpl w:val="F54669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F1978"/>
    <w:rsid w:val="2B9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eastAsia="楷体_GB2312"/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spacing w:after="120" w:line="240" w:lineRule="auto"/>
      <w:ind w:left="420" w:leftChars="200" w:firstLine="200" w:firstLineChars="200"/>
    </w:pPr>
    <w:rPr>
      <w:kern w:val="2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2021-05-24T07:33:00Z</dcterms:created>
  <dc:creator>Administrator</dc:creator>
  <cp:lastModifiedBy>Administrator</cp:lastModifiedBy>
  <dcterms:modified xsi:type="dcterms:W3CDTF">2021-05-24T07:33:32Z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D5B65DC852BD4362A0294AE7D2715E83</vt:lpwstr>
  </property>
</Properties>
</file>